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整合优化后地方级自然保护地名录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tbl>
      <w:tblPr>
        <w:tblStyle w:val="4"/>
        <w:tblW w:w="90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2404"/>
        <w:gridCol w:w="1476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348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eastAsia="zh-CN"/>
              </w:rPr>
              <w:t>类型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eastAsia="zh-CN"/>
              </w:rPr>
              <w:t>面积（</w:t>
            </w: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公顷</w:t>
            </w: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  <w:highlight w:val="none"/>
                <w:lang w:eastAsia="zh-CN"/>
              </w:rPr>
              <w:t>所在县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348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highlight w:val="none"/>
              </w:rPr>
              <w:t>贵州六枝牂牁江风景名胜区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风景名胜区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10227.74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六枝特区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B67BA"/>
    <w:rsid w:val="2D0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2025-07-16T02:11:00Z</dcterms:created>
  <dc:creator>Administrator</dc:creator>
  <cp:lastModifiedBy>Administrator</cp:lastModifiedBy>
  <dcterms:modified xsi:type="dcterms:W3CDTF">2025-07-16T02:11:59Z</dcterms:modified>
  <dc:title>附表2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