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宋体" w:hAnsi="宋体" w:eastAsia="宋体" w:cs="宋体"/>
          <w:color w:val="000000"/>
          <w:kern w:val="0"/>
          <w:sz w:val="28"/>
          <w:szCs w:val="28"/>
          <w:highlight w:val="none"/>
          <w:lang w:val="en-US" w:eastAsia="zh-CN" w:bidi="ar"/>
        </w:rPr>
      </w:pPr>
      <w:bookmarkStart w:id="0" w:name="_GoBack"/>
      <w:r>
        <w:rPr>
          <w:rFonts w:hint="eastAsia" w:ascii="宋体" w:hAnsi="宋体" w:eastAsia="宋体" w:cs="宋体"/>
          <w:color w:val="000000"/>
          <w:kern w:val="0"/>
          <w:sz w:val="28"/>
          <w:szCs w:val="28"/>
          <w:highlight w:val="none"/>
          <w:lang w:val="en-US" w:eastAsia="zh-CN" w:bidi="ar"/>
        </w:rPr>
        <w:t>六枝特区空中飞线入地管理项目市政公共资源有偿使用公示</w:t>
      </w:r>
      <w:r>
        <w:rPr>
          <w:rFonts w:hint="eastAsia" w:ascii="宋体" w:hAnsi="宋体" w:cs="宋体"/>
          <w:color w:val="000000"/>
          <w:kern w:val="0"/>
          <w:sz w:val="28"/>
          <w:szCs w:val="28"/>
          <w:highlight w:val="none"/>
          <w:lang w:val="en-US" w:eastAsia="zh-CN" w:bidi="ar"/>
        </w:rPr>
        <w:t>内容</w:t>
      </w:r>
    </w:p>
    <w:bookmarkEnd w:id="0"/>
    <w:tbl>
      <w:tblPr>
        <w:tblStyle w:val="4"/>
        <w:tblW w:w="10217"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00"/>
        <w:gridCol w:w="2033"/>
        <w:gridCol w:w="4284"/>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717" w:type="dxa"/>
            <w:noWrap w:val="0"/>
            <w:vAlign w:val="center"/>
          </w:tcPr>
          <w:p>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序号</w:t>
            </w:r>
          </w:p>
        </w:tc>
        <w:tc>
          <w:tcPr>
            <w:tcW w:w="3033" w:type="dxa"/>
            <w:gridSpan w:val="2"/>
            <w:noWrap w:val="0"/>
            <w:vAlign w:val="center"/>
          </w:tcPr>
          <w:p>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项目</w:t>
            </w:r>
          </w:p>
        </w:tc>
        <w:tc>
          <w:tcPr>
            <w:tcW w:w="4284" w:type="dxa"/>
            <w:noWrap w:val="0"/>
            <w:vAlign w:val="center"/>
          </w:tcPr>
          <w:p>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内容</w:t>
            </w:r>
          </w:p>
        </w:tc>
        <w:tc>
          <w:tcPr>
            <w:tcW w:w="2183" w:type="dxa"/>
            <w:noWrap w:val="0"/>
            <w:vAlign w:val="center"/>
          </w:tcPr>
          <w:p>
            <w:pPr>
              <w:jc w:val="center"/>
              <w:rPr>
                <w:rFonts w:hint="default" w:eastAsia="宋体"/>
                <w:sz w:val="28"/>
                <w:szCs w:val="28"/>
                <w:highlight w:val="none"/>
                <w:vertAlign w:val="baseline"/>
                <w:lang w:val="en-US" w:eastAsia="zh-CN"/>
              </w:rPr>
            </w:pPr>
            <w:r>
              <w:rPr>
                <w:rFonts w:hint="eastAsia"/>
                <w:sz w:val="28"/>
                <w:szCs w:val="28"/>
                <w:highlight w:val="none"/>
                <w:vertAlign w:val="baseline"/>
                <w:lang w:val="en-US" w:eastAsia="zh-CN"/>
              </w:rPr>
              <w:t>公示依据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noWrap w:val="0"/>
            <w:vAlign w:val="center"/>
          </w:tcPr>
          <w:p>
            <w:pPr>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w:t>
            </w:r>
          </w:p>
        </w:tc>
        <w:tc>
          <w:tcPr>
            <w:tcW w:w="1000" w:type="dxa"/>
            <w:noWrap w:val="0"/>
            <w:vAlign w:val="center"/>
          </w:tcPr>
          <w:p>
            <w:pPr>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公示主体</w:t>
            </w:r>
          </w:p>
        </w:tc>
        <w:tc>
          <w:tcPr>
            <w:tcW w:w="2033" w:type="dxa"/>
            <w:noWrap w:val="0"/>
            <w:vAlign w:val="center"/>
          </w:tcPr>
          <w:p>
            <w:pPr>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市政公共资源管理部门</w:t>
            </w:r>
          </w:p>
        </w:tc>
        <w:tc>
          <w:tcPr>
            <w:tcW w:w="4284" w:type="dxa"/>
            <w:noWrap w:val="0"/>
            <w:vAlign w:val="center"/>
          </w:tcPr>
          <w:p>
            <w:pPr>
              <w:jc w:val="center"/>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六枝特区城市管理综合行政执法局</w:t>
            </w:r>
          </w:p>
        </w:tc>
        <w:tc>
          <w:tcPr>
            <w:tcW w:w="2183" w:type="dxa"/>
            <w:vMerge w:val="restart"/>
            <w:noWrap w:val="0"/>
            <w:vAlign w:val="center"/>
          </w:tcPr>
          <w:p>
            <w:pPr>
              <w:jc w:val="both"/>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《市</w:t>
            </w:r>
            <w:r>
              <w:rPr>
                <w:rFonts w:hint="eastAsia"/>
                <w:sz w:val="28"/>
                <w:szCs w:val="28"/>
                <w:highlight w:val="none"/>
                <w:vertAlign w:val="baseline"/>
                <w:lang w:val="en-US" w:eastAsia="zh-CN"/>
              </w:rPr>
              <w:t>政公共资源有偿使用收入管理办法》 “第十八条 市政公共资源管理部门应</w:t>
            </w:r>
            <w:r>
              <w:rPr>
                <w:rFonts w:hint="eastAsia" w:ascii="宋体" w:hAnsi="宋体" w:eastAsia="宋体" w:cs="宋体"/>
                <w:b w:val="0"/>
                <w:bCs w:val="0"/>
                <w:sz w:val="28"/>
                <w:szCs w:val="28"/>
                <w:highlight w:val="none"/>
                <w:vertAlign w:val="baseline"/>
                <w:lang w:val="en-US" w:eastAsia="zh-CN"/>
              </w:rPr>
              <w:t>当履行下列职责:</w:t>
            </w:r>
          </w:p>
          <w:p>
            <w:pPr>
              <w:jc w:val="both"/>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(一)公示市政公共资源有偿使用收入的收取依据、项目、对象、范围、标准、期限和方式等”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restart"/>
            <w:noWrap w:val="0"/>
            <w:vAlign w:val="center"/>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2</w:t>
            </w:r>
          </w:p>
        </w:tc>
        <w:tc>
          <w:tcPr>
            <w:tcW w:w="1000" w:type="dxa"/>
            <w:vMerge w:val="restart"/>
            <w:noWrap w:val="0"/>
            <w:vAlign w:val="center"/>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公示内容</w:t>
            </w:r>
          </w:p>
        </w:tc>
        <w:tc>
          <w:tcPr>
            <w:tcW w:w="2033" w:type="dxa"/>
            <w:noWrap w:val="0"/>
            <w:vAlign w:val="center"/>
          </w:tcPr>
          <w:p>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市政公共资源有偿使用费的收取依据</w:t>
            </w:r>
          </w:p>
        </w:tc>
        <w:tc>
          <w:tcPr>
            <w:tcW w:w="4284" w:type="dxa"/>
            <w:noWrap w:val="0"/>
            <w:vAlign w:val="center"/>
          </w:tcPr>
          <w:p>
            <w:pPr>
              <w:jc w:val="both"/>
              <w:rPr>
                <w:rFonts w:hint="eastAsia"/>
                <w:sz w:val="28"/>
                <w:szCs w:val="28"/>
                <w:highlight w:val="none"/>
                <w:vertAlign w:val="baseline"/>
                <w:lang w:val="en-US" w:eastAsia="zh-CN"/>
              </w:rPr>
            </w:pPr>
            <w:r>
              <w:rPr>
                <w:rFonts w:hint="eastAsia"/>
                <w:sz w:val="28"/>
                <w:szCs w:val="28"/>
                <w:highlight w:val="none"/>
                <w:vertAlign w:val="baseline"/>
                <w:lang w:val="en-US" w:eastAsia="zh-CN"/>
              </w:rPr>
              <w:t>本项目市政公共资源有偿使用收入的收取依据主要为《市政公共资源有偿使用收入管理办法》“第四条政府可以充分提供，能够保障公众普遍公平使用的市政公共资源应当免费使用。资源相对稀缺、不能充分提供的，或者主要由部分社会公众使用的市政公共资源可以有偿使用。法律、法规另有规定的，从其规定。”</w:t>
            </w:r>
          </w:p>
        </w:tc>
        <w:tc>
          <w:tcPr>
            <w:tcW w:w="2183" w:type="dxa"/>
            <w:vMerge w:val="continue"/>
            <w:noWrap w:val="0"/>
            <w:vAlign w:val="center"/>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continue"/>
            <w:noWrap w:val="0"/>
            <w:vAlign w:val="center"/>
          </w:tcPr>
          <w:p>
            <w:pPr>
              <w:jc w:val="center"/>
              <w:rPr>
                <w:rFonts w:hint="eastAsia"/>
                <w:sz w:val="28"/>
                <w:szCs w:val="28"/>
                <w:highlight w:val="none"/>
                <w:vertAlign w:val="baseline"/>
                <w:lang w:val="en-US" w:eastAsia="zh-CN"/>
              </w:rPr>
            </w:pPr>
          </w:p>
        </w:tc>
        <w:tc>
          <w:tcPr>
            <w:tcW w:w="1000" w:type="dxa"/>
            <w:vMerge w:val="continue"/>
            <w:noWrap w:val="0"/>
            <w:vAlign w:val="center"/>
          </w:tcPr>
          <w:p>
            <w:pPr>
              <w:jc w:val="center"/>
              <w:rPr>
                <w:rFonts w:hint="eastAsia"/>
                <w:sz w:val="28"/>
                <w:szCs w:val="28"/>
                <w:highlight w:val="none"/>
                <w:vertAlign w:val="baseline"/>
                <w:lang w:val="en-US" w:eastAsia="zh-CN"/>
              </w:rPr>
            </w:pPr>
          </w:p>
        </w:tc>
        <w:tc>
          <w:tcPr>
            <w:tcW w:w="2033" w:type="dxa"/>
            <w:noWrap w:val="0"/>
            <w:vAlign w:val="center"/>
          </w:tcPr>
          <w:p>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市政公共资源有偿使用费的收取项目</w:t>
            </w:r>
          </w:p>
        </w:tc>
        <w:tc>
          <w:tcPr>
            <w:tcW w:w="4284" w:type="dxa"/>
            <w:noWrap w:val="0"/>
            <w:vAlign w:val="center"/>
          </w:tcPr>
          <w:p>
            <w:pPr>
              <w:jc w:val="both"/>
              <w:rPr>
                <w:rFonts w:hint="eastAsia"/>
                <w:sz w:val="28"/>
                <w:szCs w:val="28"/>
                <w:highlight w:val="none"/>
                <w:vertAlign w:val="baseline"/>
                <w:lang w:val="en-US" w:eastAsia="zh-CN"/>
              </w:rPr>
            </w:pPr>
            <w:r>
              <w:rPr>
                <w:rFonts w:hint="eastAsia"/>
                <w:sz w:val="28"/>
                <w:szCs w:val="28"/>
                <w:highlight w:val="none"/>
                <w:vertAlign w:val="baseline"/>
                <w:lang w:val="en-US" w:eastAsia="zh-CN"/>
              </w:rPr>
              <w:t>本项目涉及的市政公共资源有偿使用费收取项目为六枝特区空中飞线入地管理项目涉及的市政公共资源。</w:t>
            </w:r>
          </w:p>
        </w:tc>
        <w:tc>
          <w:tcPr>
            <w:tcW w:w="2183" w:type="dxa"/>
            <w:vMerge w:val="continue"/>
            <w:noWrap w:val="0"/>
            <w:vAlign w:val="center"/>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continue"/>
            <w:noWrap w:val="0"/>
            <w:vAlign w:val="center"/>
          </w:tcPr>
          <w:p>
            <w:pPr>
              <w:jc w:val="center"/>
              <w:rPr>
                <w:rFonts w:hint="eastAsia"/>
                <w:sz w:val="28"/>
                <w:szCs w:val="28"/>
                <w:highlight w:val="none"/>
                <w:vertAlign w:val="baseline"/>
                <w:lang w:val="en-US" w:eastAsia="zh-CN"/>
              </w:rPr>
            </w:pPr>
          </w:p>
        </w:tc>
        <w:tc>
          <w:tcPr>
            <w:tcW w:w="1000" w:type="dxa"/>
            <w:vMerge w:val="continue"/>
            <w:noWrap w:val="0"/>
            <w:vAlign w:val="center"/>
          </w:tcPr>
          <w:p>
            <w:pPr>
              <w:jc w:val="center"/>
              <w:rPr>
                <w:rFonts w:hint="eastAsia"/>
                <w:sz w:val="28"/>
                <w:szCs w:val="28"/>
                <w:highlight w:val="none"/>
                <w:vertAlign w:val="baseline"/>
                <w:lang w:val="en-US" w:eastAsia="zh-CN"/>
              </w:rPr>
            </w:pPr>
          </w:p>
        </w:tc>
        <w:tc>
          <w:tcPr>
            <w:tcW w:w="2033" w:type="dxa"/>
            <w:noWrap w:val="0"/>
            <w:vAlign w:val="center"/>
          </w:tcPr>
          <w:p>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市政公共资源有偿使用费的收取对象</w:t>
            </w:r>
          </w:p>
        </w:tc>
        <w:tc>
          <w:tcPr>
            <w:tcW w:w="4284" w:type="dxa"/>
            <w:noWrap w:val="0"/>
            <w:vAlign w:val="center"/>
          </w:tcPr>
          <w:p>
            <w:pPr>
              <w:jc w:val="both"/>
              <w:rPr>
                <w:rFonts w:hint="eastAsia"/>
                <w:sz w:val="28"/>
                <w:szCs w:val="28"/>
                <w:highlight w:val="none"/>
                <w:vertAlign w:val="baseline"/>
                <w:lang w:val="en-US" w:eastAsia="zh-CN"/>
              </w:rPr>
            </w:pPr>
            <w:r>
              <w:rPr>
                <w:rFonts w:hint="eastAsia"/>
                <w:sz w:val="28"/>
                <w:szCs w:val="28"/>
                <w:highlight w:val="none"/>
                <w:vertAlign w:val="baseline"/>
                <w:lang w:val="en-US" w:eastAsia="zh-CN"/>
              </w:rPr>
              <w:t>本项目涉及的市政公共资源有偿使用费收取对象为六枝特区空中飞线入地管理项目招标受让方。</w:t>
            </w:r>
          </w:p>
        </w:tc>
        <w:tc>
          <w:tcPr>
            <w:tcW w:w="2183" w:type="dxa"/>
            <w:vMerge w:val="continue"/>
            <w:noWrap w:val="0"/>
            <w:vAlign w:val="center"/>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continue"/>
            <w:noWrap w:val="0"/>
            <w:vAlign w:val="center"/>
          </w:tcPr>
          <w:p>
            <w:pPr>
              <w:jc w:val="center"/>
              <w:rPr>
                <w:rFonts w:hint="eastAsia"/>
                <w:sz w:val="28"/>
                <w:szCs w:val="28"/>
                <w:highlight w:val="none"/>
                <w:vertAlign w:val="baseline"/>
                <w:lang w:val="en-US" w:eastAsia="zh-CN"/>
              </w:rPr>
            </w:pPr>
          </w:p>
        </w:tc>
        <w:tc>
          <w:tcPr>
            <w:tcW w:w="1000" w:type="dxa"/>
            <w:vMerge w:val="continue"/>
            <w:noWrap w:val="0"/>
            <w:vAlign w:val="center"/>
          </w:tcPr>
          <w:p>
            <w:pPr>
              <w:jc w:val="center"/>
              <w:rPr>
                <w:rFonts w:hint="eastAsia"/>
                <w:sz w:val="28"/>
                <w:szCs w:val="28"/>
                <w:highlight w:val="none"/>
                <w:vertAlign w:val="baseline"/>
                <w:lang w:val="en-US" w:eastAsia="zh-CN"/>
              </w:rPr>
            </w:pPr>
          </w:p>
        </w:tc>
        <w:tc>
          <w:tcPr>
            <w:tcW w:w="2033" w:type="dxa"/>
            <w:noWrap w:val="0"/>
            <w:vAlign w:val="center"/>
          </w:tcPr>
          <w:p>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市政公共资源有偿使用范围</w:t>
            </w:r>
          </w:p>
        </w:tc>
        <w:tc>
          <w:tcPr>
            <w:tcW w:w="4284" w:type="dxa"/>
            <w:noWrap w:val="0"/>
            <w:vAlign w:val="center"/>
          </w:tcPr>
          <w:p>
            <w:pPr>
              <w:jc w:val="both"/>
              <w:rPr>
                <w:rFonts w:hint="eastAsia"/>
                <w:sz w:val="28"/>
                <w:szCs w:val="28"/>
                <w:highlight w:val="none"/>
                <w:vertAlign w:val="baseline"/>
                <w:lang w:val="en-US" w:eastAsia="zh-CN"/>
              </w:rPr>
            </w:pPr>
            <w:r>
              <w:rPr>
                <w:rFonts w:hint="eastAsia"/>
                <w:sz w:val="28"/>
                <w:szCs w:val="28"/>
                <w:highlight w:val="none"/>
                <w:vertAlign w:val="baseline"/>
                <w:lang w:val="en-US" w:eastAsia="zh-CN"/>
              </w:rPr>
              <w:t>本项目涉及有偿使用的市政公共资源为实施本项目需利用的公共场所及公共空间，内容详见附表。（具体点位以实际实施为准）</w:t>
            </w:r>
          </w:p>
        </w:tc>
        <w:tc>
          <w:tcPr>
            <w:tcW w:w="2183" w:type="dxa"/>
            <w:vMerge w:val="continue"/>
            <w:noWrap w:val="0"/>
            <w:vAlign w:val="center"/>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continue"/>
            <w:noWrap w:val="0"/>
            <w:vAlign w:val="center"/>
          </w:tcPr>
          <w:p>
            <w:pPr>
              <w:jc w:val="center"/>
              <w:rPr>
                <w:rFonts w:hint="eastAsia"/>
                <w:sz w:val="28"/>
                <w:szCs w:val="28"/>
                <w:highlight w:val="none"/>
                <w:vertAlign w:val="baseline"/>
                <w:lang w:val="en-US" w:eastAsia="zh-CN"/>
              </w:rPr>
            </w:pPr>
          </w:p>
        </w:tc>
        <w:tc>
          <w:tcPr>
            <w:tcW w:w="1000" w:type="dxa"/>
            <w:vMerge w:val="continue"/>
            <w:noWrap w:val="0"/>
            <w:vAlign w:val="center"/>
          </w:tcPr>
          <w:p>
            <w:pPr>
              <w:jc w:val="center"/>
              <w:rPr>
                <w:rFonts w:hint="eastAsia"/>
                <w:sz w:val="28"/>
                <w:szCs w:val="28"/>
                <w:highlight w:val="none"/>
                <w:vertAlign w:val="baseline"/>
                <w:lang w:val="en-US" w:eastAsia="zh-CN"/>
              </w:rPr>
            </w:pPr>
          </w:p>
        </w:tc>
        <w:tc>
          <w:tcPr>
            <w:tcW w:w="2033" w:type="dxa"/>
            <w:noWrap w:val="0"/>
            <w:vAlign w:val="center"/>
          </w:tcPr>
          <w:p>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市政公共资源有偿使用费的收取标准</w:t>
            </w:r>
          </w:p>
        </w:tc>
        <w:tc>
          <w:tcPr>
            <w:tcW w:w="4284" w:type="dxa"/>
            <w:noWrap w:val="0"/>
            <w:vAlign w:val="center"/>
          </w:tcPr>
          <w:p>
            <w:pPr>
              <w:jc w:val="both"/>
              <w:rPr>
                <w:rFonts w:hint="eastAsia"/>
                <w:sz w:val="28"/>
                <w:szCs w:val="28"/>
                <w:highlight w:val="none"/>
                <w:vertAlign w:val="baseline"/>
                <w:lang w:val="en-US" w:eastAsia="zh-CN"/>
              </w:rPr>
            </w:pPr>
            <w:r>
              <w:rPr>
                <w:rFonts w:hint="eastAsia"/>
                <w:sz w:val="28"/>
                <w:szCs w:val="28"/>
                <w:highlight w:val="none"/>
                <w:vertAlign w:val="baseline"/>
                <w:lang w:val="en-US" w:eastAsia="zh-CN"/>
              </w:rPr>
              <w:t>按照《资产评估报告》，本项目涉及的市政公共资源在有偿使用</w:t>
            </w:r>
          </w:p>
          <w:p>
            <w:pPr>
              <w:jc w:val="both"/>
              <w:rPr>
                <w:rFonts w:hint="eastAsia"/>
                <w:sz w:val="28"/>
                <w:szCs w:val="28"/>
                <w:highlight w:val="none"/>
                <w:vertAlign w:val="baseline"/>
                <w:lang w:val="en-US" w:eastAsia="zh-CN"/>
              </w:rPr>
            </w:pPr>
            <w:r>
              <w:rPr>
                <w:rFonts w:hint="eastAsia"/>
                <w:sz w:val="28"/>
                <w:szCs w:val="28"/>
                <w:highlight w:val="none"/>
                <w:vertAlign w:val="baseline"/>
                <w:lang w:val="en-US" w:eastAsia="zh-CN"/>
              </w:rPr>
              <w:t>年限（20 年）的使用权评估值为 706.53 万元，故本项目市政公共资源有偿使用费金额下限设置为 706.53 万元，最终金额以本项目招标受让方报价为准。</w:t>
            </w:r>
          </w:p>
        </w:tc>
        <w:tc>
          <w:tcPr>
            <w:tcW w:w="2183" w:type="dxa"/>
            <w:vMerge w:val="continue"/>
            <w:noWrap w:val="0"/>
            <w:vAlign w:val="center"/>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continue"/>
            <w:noWrap w:val="0"/>
            <w:vAlign w:val="center"/>
          </w:tcPr>
          <w:p>
            <w:pPr>
              <w:jc w:val="center"/>
              <w:rPr>
                <w:rFonts w:hint="eastAsia"/>
                <w:sz w:val="28"/>
                <w:szCs w:val="28"/>
                <w:highlight w:val="none"/>
                <w:vertAlign w:val="baseline"/>
                <w:lang w:val="en-US" w:eastAsia="zh-CN"/>
              </w:rPr>
            </w:pPr>
          </w:p>
        </w:tc>
        <w:tc>
          <w:tcPr>
            <w:tcW w:w="1000" w:type="dxa"/>
            <w:vMerge w:val="continue"/>
            <w:noWrap w:val="0"/>
            <w:vAlign w:val="center"/>
          </w:tcPr>
          <w:p>
            <w:pPr>
              <w:jc w:val="center"/>
              <w:rPr>
                <w:rFonts w:hint="eastAsia"/>
                <w:sz w:val="28"/>
                <w:szCs w:val="28"/>
                <w:highlight w:val="none"/>
                <w:vertAlign w:val="baseline"/>
                <w:lang w:val="en-US" w:eastAsia="zh-CN"/>
              </w:rPr>
            </w:pPr>
          </w:p>
        </w:tc>
        <w:tc>
          <w:tcPr>
            <w:tcW w:w="2033" w:type="dxa"/>
            <w:noWrap w:val="0"/>
            <w:vAlign w:val="center"/>
          </w:tcPr>
          <w:p>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市政公共资源有偿使用费的收取期限及方式</w:t>
            </w:r>
          </w:p>
        </w:tc>
        <w:tc>
          <w:tcPr>
            <w:tcW w:w="4284" w:type="dxa"/>
            <w:noWrap w:val="0"/>
            <w:vAlign w:val="center"/>
          </w:tcPr>
          <w:p>
            <w:pPr>
              <w:jc w:val="both"/>
              <w:rPr>
                <w:rFonts w:hint="eastAsia"/>
                <w:sz w:val="28"/>
                <w:szCs w:val="28"/>
                <w:highlight w:val="none"/>
                <w:vertAlign w:val="baseline"/>
                <w:lang w:val="en-US" w:eastAsia="zh-CN"/>
              </w:rPr>
            </w:pPr>
            <w:r>
              <w:rPr>
                <w:rFonts w:hint="eastAsia"/>
                <w:sz w:val="28"/>
                <w:szCs w:val="28"/>
                <w:highlight w:val="none"/>
                <w:vertAlign w:val="baseline"/>
                <w:lang w:val="en-US" w:eastAsia="zh-CN"/>
              </w:rPr>
              <w:t>本项目收取的市政公共资源有偿使用费对应的有偿使用期限为20 年，收取方式为受让方与六枝特区综合行政执法局签订《市政公共资源有偿使用协议》、银行资金落地后向六枝特区综合行政执法局支付全额市政公共资源有偿使用费。</w:t>
            </w:r>
          </w:p>
        </w:tc>
        <w:tc>
          <w:tcPr>
            <w:tcW w:w="2183" w:type="dxa"/>
            <w:vMerge w:val="continue"/>
            <w:noWrap w:val="0"/>
            <w:vAlign w:val="center"/>
          </w:tcPr>
          <w:p>
            <w:pPr>
              <w:jc w:val="center"/>
              <w:rPr>
                <w:rFonts w:hint="eastAsia"/>
                <w:sz w:val="28"/>
                <w:szCs w:val="28"/>
                <w:highlight w:val="none"/>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82B28"/>
    <w:rsid w:val="06D8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2025-08-07T09:05:00Z</dcterms:created>
  <dc:creator>Administrator</dc:creator>
  <cp:lastModifiedBy>Administrator</cp:lastModifiedBy>
  <dcterms:modified xsi:type="dcterms:W3CDTF">2025-08-07T09:27:28Z</dcterms:modified>
  <dc:title>六枝特区空中飞线入地管理项目市政公共资源有偿使用公示内容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