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b/>
          <w:bCs/>
          <w:sz w:val="44"/>
          <w:szCs w:val="44"/>
        </w:rPr>
      </w:pPr>
      <w:bookmarkStart w:id="0" w:name="_Hlk84939879"/>
    </w:p>
    <w:p>
      <w:pPr>
        <w:snapToGrid w:val="0"/>
        <w:spacing w:line="360" w:lineRule="auto"/>
        <w:jc w:val="center"/>
        <w:rPr>
          <w:b/>
          <w:bCs/>
          <w:sz w:val="44"/>
          <w:szCs w:val="44"/>
        </w:rPr>
      </w:pPr>
    </w:p>
    <w:p>
      <w:pPr>
        <w:snapToGrid w:val="0"/>
        <w:spacing w:line="360" w:lineRule="auto"/>
        <w:jc w:val="center"/>
        <w:rPr>
          <w:b/>
          <w:bCs/>
          <w:sz w:val="36"/>
          <w:szCs w:val="36"/>
        </w:rPr>
      </w:pPr>
    </w:p>
    <w:p>
      <w:pPr>
        <w:snapToGrid w:val="0"/>
        <w:spacing w:line="360" w:lineRule="auto"/>
        <w:jc w:val="center"/>
        <w:rPr>
          <w:b/>
          <w:bCs/>
          <w:sz w:val="36"/>
          <w:szCs w:val="36"/>
        </w:rPr>
      </w:pPr>
      <w:r>
        <w:rPr>
          <w:rFonts w:hint="eastAsia"/>
          <w:b/>
          <w:bCs/>
          <w:sz w:val="36"/>
          <w:szCs w:val="36"/>
        </w:rPr>
        <w:t>贵州金兰盛锦新材料有限公司美锦煤焦氢综合利用硝基水溶肥生产制造项目</w:t>
      </w:r>
    </w:p>
    <w:p>
      <w:pPr>
        <w:snapToGrid w:val="0"/>
        <w:spacing w:line="360" w:lineRule="auto"/>
        <w:jc w:val="center"/>
        <w:rPr>
          <w:b/>
          <w:bCs/>
          <w:sz w:val="52"/>
          <w:szCs w:val="52"/>
        </w:rPr>
      </w:pPr>
      <w:r>
        <w:rPr>
          <w:rFonts w:hint="eastAsia"/>
          <w:b/>
          <w:bCs/>
          <w:sz w:val="52"/>
          <w:szCs w:val="52"/>
        </w:rPr>
        <w:t>环境影响评价公众参与说明</w:t>
      </w:r>
    </w:p>
    <w:p>
      <w:pPr>
        <w:snapToGrid w:val="0"/>
        <w:spacing w:line="360" w:lineRule="auto"/>
        <w:jc w:val="center"/>
        <w:rPr>
          <w:b/>
          <w:bCs/>
          <w:sz w:val="44"/>
          <w:szCs w:val="44"/>
        </w:rPr>
      </w:pPr>
    </w:p>
    <w:p>
      <w:pPr>
        <w:snapToGrid w:val="0"/>
        <w:spacing w:line="360" w:lineRule="auto"/>
        <w:jc w:val="center"/>
        <w:rPr>
          <w:b/>
          <w:bCs/>
          <w:sz w:val="44"/>
          <w:szCs w:val="44"/>
        </w:rPr>
      </w:pPr>
    </w:p>
    <w:p>
      <w:pPr>
        <w:snapToGrid w:val="0"/>
        <w:spacing w:line="360" w:lineRule="auto"/>
        <w:jc w:val="center"/>
        <w:rPr>
          <w:b/>
          <w:bCs/>
          <w:sz w:val="44"/>
          <w:szCs w:val="44"/>
        </w:rPr>
      </w:pPr>
    </w:p>
    <w:p>
      <w:pPr>
        <w:snapToGrid w:val="0"/>
        <w:spacing w:line="360" w:lineRule="auto"/>
        <w:jc w:val="center"/>
        <w:rPr>
          <w:b/>
          <w:bCs/>
          <w:sz w:val="44"/>
          <w:szCs w:val="44"/>
        </w:rPr>
      </w:pPr>
    </w:p>
    <w:p>
      <w:pPr>
        <w:snapToGrid w:val="0"/>
        <w:spacing w:line="360" w:lineRule="auto"/>
        <w:jc w:val="center"/>
        <w:rPr>
          <w:b/>
          <w:bCs/>
          <w:sz w:val="44"/>
          <w:szCs w:val="44"/>
        </w:rPr>
      </w:pPr>
    </w:p>
    <w:p>
      <w:pPr>
        <w:snapToGrid w:val="0"/>
        <w:spacing w:line="360" w:lineRule="auto"/>
        <w:jc w:val="center"/>
        <w:rPr>
          <w:b/>
          <w:bCs/>
          <w:sz w:val="44"/>
          <w:szCs w:val="44"/>
        </w:rPr>
      </w:pPr>
    </w:p>
    <w:p>
      <w:pPr>
        <w:snapToGrid w:val="0"/>
        <w:spacing w:line="360" w:lineRule="auto"/>
        <w:jc w:val="center"/>
        <w:rPr>
          <w:b/>
          <w:bCs/>
          <w:sz w:val="44"/>
          <w:szCs w:val="44"/>
        </w:rPr>
      </w:pPr>
    </w:p>
    <w:p>
      <w:pPr>
        <w:snapToGrid w:val="0"/>
        <w:spacing w:line="360" w:lineRule="auto"/>
        <w:jc w:val="center"/>
        <w:rPr>
          <w:b/>
          <w:bCs/>
          <w:sz w:val="44"/>
          <w:szCs w:val="44"/>
        </w:rPr>
      </w:pPr>
    </w:p>
    <w:p>
      <w:pPr>
        <w:snapToGrid w:val="0"/>
        <w:spacing w:line="360" w:lineRule="auto"/>
        <w:jc w:val="center"/>
        <w:rPr>
          <w:b/>
          <w:bCs/>
          <w:sz w:val="32"/>
          <w:szCs w:val="32"/>
        </w:rPr>
      </w:pPr>
      <w:r>
        <w:rPr>
          <w:rFonts w:hint="eastAsia"/>
          <w:b/>
          <w:bCs/>
          <w:sz w:val="32"/>
          <w:szCs w:val="32"/>
        </w:rPr>
        <w:t>贵州金兰盛锦新材料有限公司</w:t>
      </w:r>
    </w:p>
    <w:p>
      <w:pPr>
        <w:snapToGrid w:val="0"/>
        <w:spacing w:line="360" w:lineRule="auto"/>
        <w:jc w:val="center"/>
        <w:rPr>
          <w:b/>
          <w:bCs/>
          <w:sz w:val="32"/>
          <w:szCs w:val="32"/>
        </w:rPr>
      </w:pPr>
      <w:r>
        <w:rPr>
          <w:rFonts w:hint="eastAsia"/>
          <w:b/>
          <w:bCs/>
          <w:sz w:val="32"/>
          <w:szCs w:val="32"/>
        </w:rPr>
        <w:t>二〇二五年八月</w:t>
      </w:r>
    </w:p>
    <w:p>
      <w:pPr>
        <w:snapToGrid w:val="0"/>
        <w:spacing w:line="360" w:lineRule="auto"/>
        <w:jc w:val="center"/>
        <w:rPr>
          <w:b/>
          <w:bCs/>
          <w:sz w:val="32"/>
          <w:szCs w:val="32"/>
        </w:rPr>
      </w:pPr>
    </w:p>
    <w:p/>
    <w:p>
      <w:pPr>
        <w:jc w:val="center"/>
        <w:rPr>
          <w:rFonts w:hint="eastAsia" w:hAnsi="宋体"/>
          <w:sz w:val="30"/>
          <w:szCs w:val="30"/>
        </w:rPr>
      </w:pPr>
    </w:p>
    <w:p>
      <w:pPr>
        <w:widowControl/>
        <w:jc w:val="left"/>
        <w:rPr>
          <w:rFonts w:hint="eastAsia" w:hAnsi="宋体"/>
          <w:sz w:val="30"/>
          <w:szCs w:val="30"/>
        </w:rPr>
        <w:sectPr>
          <w:footerReference r:id="rId3" w:type="default"/>
          <w:pgSz w:w="11906" w:h="16838"/>
          <w:pgMar w:top="1440" w:right="1800" w:bottom="1440" w:left="1800" w:header="851" w:footer="992" w:gutter="0"/>
          <w:cols w:space="425" w:num="1"/>
          <w:docGrid w:type="lines" w:linePitch="312" w:charSpace="0"/>
        </w:sectPr>
      </w:pPr>
      <w:r>
        <w:rPr>
          <w:rFonts w:hint="eastAsia" w:hAnsi="宋体"/>
          <w:sz w:val="30"/>
          <w:szCs w:val="30"/>
        </w:rPr>
        <w:br w:type="page"/>
      </w:r>
    </w:p>
    <w:p>
      <w:pPr>
        <w:jc w:val="center"/>
        <w:rPr>
          <w:rFonts w:hint="eastAsia" w:hAnsi="宋体"/>
          <w:sz w:val="30"/>
          <w:szCs w:val="30"/>
        </w:rPr>
      </w:pPr>
      <w:r>
        <w:rPr>
          <w:rFonts w:hint="eastAsia" w:hAnsi="宋体"/>
          <w:sz w:val="30"/>
          <w:szCs w:val="30"/>
        </w:rPr>
        <w:t xml:space="preserve">目 </w:t>
      </w:r>
      <w:r>
        <w:rPr>
          <w:rFonts w:hAnsi="宋体"/>
          <w:sz w:val="30"/>
          <w:szCs w:val="30"/>
        </w:rPr>
        <w:t xml:space="preserve"> </w:t>
      </w:r>
      <w:r>
        <w:rPr>
          <w:rFonts w:hint="eastAsia" w:hAnsi="宋体"/>
          <w:sz w:val="30"/>
          <w:szCs w:val="30"/>
        </w:rPr>
        <w:t>录</w:t>
      </w:r>
    </w:p>
    <w:p>
      <w:pPr>
        <w:pStyle w:val="10"/>
        <w:tabs>
          <w:tab w:val="left" w:pos="440"/>
          <w:tab w:val="right" w:leader="dot" w:pos="8296"/>
        </w:tabs>
        <w:rPr>
          <w:rFonts w:hint="eastAsia" w:asciiTheme="minorHAnsi" w:hAnsiTheme="minorHAnsi" w:eastAsiaTheme="minorEastAsia" w:cstheme="minorBidi"/>
          <w:b w:val="0"/>
          <w:bCs w:val="0"/>
          <w:caps w:val="0"/>
          <w:kern w:val="2"/>
          <w:sz w:val="22"/>
          <w:szCs w:val="24"/>
          <w14:ligatures w14:val="standardContextual"/>
        </w:rPr>
      </w:pPr>
      <w:r>
        <w:rPr>
          <w:rFonts w:hAnsi="宋体"/>
        </w:rPr>
        <w:fldChar w:fldCharType="begin"/>
      </w:r>
      <w:r>
        <w:rPr>
          <w:rFonts w:hAnsi="宋体"/>
        </w:rPr>
        <w:instrText xml:space="preserve"> </w:instrText>
      </w:r>
      <w:r>
        <w:rPr>
          <w:rFonts w:hint="eastAsia" w:hAnsi="宋体"/>
        </w:rPr>
        <w:instrText xml:space="preserve">TOC \o "1-2" \h \z \u</w:instrText>
      </w:r>
      <w:r>
        <w:rPr>
          <w:rFonts w:hAnsi="宋体"/>
        </w:rPr>
        <w:instrText xml:space="preserve"> </w:instrText>
      </w:r>
      <w:r>
        <w:rPr>
          <w:rFonts w:hAnsi="宋体"/>
        </w:rPr>
        <w:fldChar w:fldCharType="separate"/>
      </w:r>
      <w:r>
        <w:fldChar w:fldCharType="begin"/>
      </w:r>
      <w:r>
        <w:instrText xml:space="preserve"> HYPERLINK \l "_Toc207274024" </w:instrText>
      </w:r>
      <w:r>
        <w:fldChar w:fldCharType="separate"/>
      </w:r>
      <w:r>
        <w:rPr>
          <w:rStyle w:val="13"/>
          <w:rFonts w:hint="eastAsia"/>
          <w:kern w:val="32"/>
        </w:rPr>
        <w:t>1</w:t>
      </w:r>
      <w:r>
        <w:rPr>
          <w:rFonts w:hint="eastAsia" w:asciiTheme="minorHAnsi" w:hAnsiTheme="minorHAnsi" w:eastAsiaTheme="minorEastAsia" w:cstheme="minorBidi"/>
          <w:b w:val="0"/>
          <w:bCs w:val="0"/>
          <w:caps w:val="0"/>
          <w:kern w:val="2"/>
          <w:sz w:val="22"/>
          <w:szCs w:val="24"/>
          <w14:ligatures w14:val="standardContextual"/>
        </w:rPr>
        <w:tab/>
      </w:r>
      <w:r>
        <w:rPr>
          <w:rStyle w:val="13"/>
          <w:rFonts w:hint="eastAsia"/>
        </w:rPr>
        <w:t>概述</w:t>
      </w:r>
      <w:r>
        <w:rPr>
          <w:rFonts w:hint="eastAsia"/>
        </w:rPr>
        <w:tab/>
      </w:r>
      <w:r>
        <w:rPr>
          <w:rFonts w:hint="eastAsia"/>
        </w:rPr>
        <w:fldChar w:fldCharType="begin"/>
      </w:r>
      <w:r>
        <w:rPr>
          <w:rFonts w:hint="eastAsia"/>
        </w:rPr>
        <w:instrText xml:space="preserve"> </w:instrText>
      </w:r>
      <w:r>
        <w:instrText xml:space="preserve">PAGEREF _Toc207274024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0"/>
        <w:tabs>
          <w:tab w:val="left" w:pos="440"/>
          <w:tab w:val="right" w:leader="dot" w:pos="8296"/>
        </w:tabs>
        <w:rPr>
          <w:rFonts w:hint="eastAsia" w:asciiTheme="minorHAnsi" w:hAnsiTheme="minorHAnsi" w:eastAsiaTheme="minorEastAsia" w:cstheme="minorBidi"/>
          <w:b w:val="0"/>
          <w:bCs w:val="0"/>
          <w:caps w:val="0"/>
          <w:kern w:val="2"/>
          <w:sz w:val="22"/>
          <w:szCs w:val="24"/>
          <w14:ligatures w14:val="standardContextual"/>
        </w:rPr>
      </w:pPr>
      <w:r>
        <w:fldChar w:fldCharType="begin"/>
      </w:r>
      <w:r>
        <w:instrText xml:space="preserve"> HYPERLINK \l "_Toc207274025" </w:instrText>
      </w:r>
      <w:r>
        <w:fldChar w:fldCharType="separate"/>
      </w:r>
      <w:r>
        <w:rPr>
          <w:rStyle w:val="13"/>
          <w:rFonts w:hint="eastAsia"/>
          <w:kern w:val="32"/>
        </w:rPr>
        <w:t>2</w:t>
      </w:r>
      <w:r>
        <w:rPr>
          <w:rFonts w:hint="eastAsia" w:asciiTheme="minorHAnsi" w:hAnsiTheme="minorHAnsi" w:eastAsiaTheme="minorEastAsia" w:cstheme="minorBidi"/>
          <w:b w:val="0"/>
          <w:bCs w:val="0"/>
          <w:caps w:val="0"/>
          <w:kern w:val="2"/>
          <w:sz w:val="22"/>
          <w:szCs w:val="24"/>
          <w14:ligatures w14:val="standardContextual"/>
        </w:rPr>
        <w:tab/>
      </w:r>
      <w:r>
        <w:rPr>
          <w:rStyle w:val="13"/>
          <w:rFonts w:hint="eastAsia"/>
        </w:rPr>
        <w:t>首次环境影响评价信息公开情况</w:t>
      </w:r>
      <w:r>
        <w:rPr>
          <w:rFonts w:hint="eastAsia"/>
        </w:rPr>
        <w:tab/>
      </w:r>
      <w:r>
        <w:rPr>
          <w:rFonts w:hint="eastAsia"/>
        </w:rPr>
        <w:fldChar w:fldCharType="begin"/>
      </w:r>
      <w:r>
        <w:rPr>
          <w:rFonts w:hint="eastAsia"/>
        </w:rPr>
        <w:instrText xml:space="preserve"> </w:instrText>
      </w:r>
      <w:r>
        <w:instrText xml:space="preserve">PAGEREF _Toc207274025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1"/>
        <w:tabs>
          <w:tab w:val="left" w:pos="880"/>
          <w:tab w:val="right" w:leader="dot" w:pos="8296"/>
        </w:tabs>
        <w:rPr>
          <w:rFonts w:hint="eastAsia" w:asciiTheme="minorHAnsi" w:hAnsiTheme="minorHAnsi" w:eastAsiaTheme="minorEastAsia" w:cstheme="minorBidi"/>
          <w:smallCaps w:val="0"/>
          <w:kern w:val="2"/>
          <w:sz w:val="22"/>
          <w:szCs w:val="24"/>
          <w14:ligatures w14:val="standardContextual"/>
        </w:rPr>
      </w:pPr>
      <w:r>
        <w:fldChar w:fldCharType="begin"/>
      </w:r>
      <w:r>
        <w:instrText xml:space="preserve"> HYPERLINK \l "_Toc207274026" </w:instrText>
      </w:r>
      <w:r>
        <w:fldChar w:fldCharType="separate"/>
      </w:r>
      <w:r>
        <w:rPr>
          <w:rStyle w:val="13"/>
          <w:rFonts w:hint="eastAsia"/>
          <w:kern w:val="28"/>
        </w:rPr>
        <w:t>2.1</w:t>
      </w:r>
      <w:r>
        <w:rPr>
          <w:rFonts w:hint="eastAsia" w:asciiTheme="minorHAnsi" w:hAnsiTheme="minorHAnsi" w:eastAsiaTheme="minorEastAsia" w:cstheme="minorBidi"/>
          <w:smallCaps w:val="0"/>
          <w:kern w:val="2"/>
          <w:sz w:val="22"/>
          <w:szCs w:val="24"/>
          <w14:ligatures w14:val="standardContextual"/>
        </w:rPr>
        <w:tab/>
      </w:r>
      <w:r>
        <w:rPr>
          <w:rStyle w:val="13"/>
          <w:rFonts w:hint="eastAsia"/>
        </w:rPr>
        <w:t>公示内容及日期</w:t>
      </w:r>
      <w:r>
        <w:rPr>
          <w:rFonts w:hint="eastAsia"/>
        </w:rPr>
        <w:tab/>
      </w:r>
      <w:r>
        <w:rPr>
          <w:rFonts w:hint="eastAsia"/>
        </w:rPr>
        <w:fldChar w:fldCharType="begin"/>
      </w:r>
      <w:r>
        <w:rPr>
          <w:rFonts w:hint="eastAsia"/>
        </w:rPr>
        <w:instrText xml:space="preserve"> </w:instrText>
      </w:r>
      <w:r>
        <w:instrText xml:space="preserve">PAGEREF _Toc207274026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1"/>
        <w:tabs>
          <w:tab w:val="left" w:pos="880"/>
          <w:tab w:val="right" w:leader="dot" w:pos="8296"/>
        </w:tabs>
        <w:rPr>
          <w:rFonts w:hint="eastAsia" w:asciiTheme="minorHAnsi" w:hAnsiTheme="minorHAnsi" w:eastAsiaTheme="minorEastAsia" w:cstheme="minorBidi"/>
          <w:smallCaps w:val="0"/>
          <w:kern w:val="2"/>
          <w:sz w:val="22"/>
          <w:szCs w:val="24"/>
          <w14:ligatures w14:val="standardContextual"/>
        </w:rPr>
      </w:pPr>
      <w:r>
        <w:fldChar w:fldCharType="begin"/>
      </w:r>
      <w:r>
        <w:instrText xml:space="preserve"> HYPERLINK \l "_Toc207274027" </w:instrText>
      </w:r>
      <w:r>
        <w:fldChar w:fldCharType="separate"/>
      </w:r>
      <w:r>
        <w:rPr>
          <w:rStyle w:val="13"/>
          <w:rFonts w:hint="eastAsia"/>
          <w:kern w:val="28"/>
        </w:rPr>
        <w:t>2.2</w:t>
      </w:r>
      <w:r>
        <w:rPr>
          <w:rFonts w:hint="eastAsia" w:asciiTheme="minorHAnsi" w:hAnsiTheme="minorHAnsi" w:eastAsiaTheme="minorEastAsia" w:cstheme="minorBidi"/>
          <w:smallCaps w:val="0"/>
          <w:kern w:val="2"/>
          <w:sz w:val="22"/>
          <w:szCs w:val="24"/>
          <w14:ligatures w14:val="standardContextual"/>
        </w:rPr>
        <w:tab/>
      </w:r>
      <w:r>
        <w:rPr>
          <w:rStyle w:val="13"/>
          <w:rFonts w:hint="eastAsia"/>
        </w:rPr>
        <w:t>公开方式</w:t>
      </w:r>
      <w:r>
        <w:rPr>
          <w:rFonts w:hint="eastAsia"/>
        </w:rPr>
        <w:tab/>
      </w:r>
      <w:r>
        <w:rPr>
          <w:rFonts w:hint="eastAsia"/>
        </w:rPr>
        <w:fldChar w:fldCharType="begin"/>
      </w:r>
      <w:r>
        <w:rPr>
          <w:rFonts w:hint="eastAsia"/>
        </w:rPr>
        <w:instrText xml:space="preserve"> </w:instrText>
      </w:r>
      <w:r>
        <w:instrText xml:space="preserve">PAGEREF _Toc207274027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11"/>
        <w:tabs>
          <w:tab w:val="left" w:pos="880"/>
          <w:tab w:val="right" w:leader="dot" w:pos="8296"/>
        </w:tabs>
        <w:rPr>
          <w:rFonts w:hint="eastAsia" w:asciiTheme="minorHAnsi" w:hAnsiTheme="minorHAnsi" w:eastAsiaTheme="minorEastAsia" w:cstheme="minorBidi"/>
          <w:smallCaps w:val="0"/>
          <w:kern w:val="2"/>
          <w:sz w:val="22"/>
          <w:szCs w:val="24"/>
          <w14:ligatures w14:val="standardContextual"/>
        </w:rPr>
      </w:pPr>
      <w:r>
        <w:fldChar w:fldCharType="begin"/>
      </w:r>
      <w:r>
        <w:instrText xml:space="preserve"> HYPERLINK \l "_Toc207274028" </w:instrText>
      </w:r>
      <w:r>
        <w:fldChar w:fldCharType="separate"/>
      </w:r>
      <w:r>
        <w:rPr>
          <w:rStyle w:val="13"/>
          <w:rFonts w:hint="eastAsia"/>
          <w:kern w:val="28"/>
        </w:rPr>
        <w:t>2.3</w:t>
      </w:r>
      <w:r>
        <w:rPr>
          <w:rFonts w:hint="eastAsia" w:asciiTheme="minorHAnsi" w:hAnsiTheme="minorHAnsi" w:eastAsiaTheme="minorEastAsia" w:cstheme="minorBidi"/>
          <w:smallCaps w:val="0"/>
          <w:kern w:val="2"/>
          <w:sz w:val="22"/>
          <w:szCs w:val="24"/>
          <w14:ligatures w14:val="standardContextual"/>
        </w:rPr>
        <w:tab/>
      </w:r>
      <w:r>
        <w:rPr>
          <w:rStyle w:val="13"/>
          <w:rFonts w:hint="eastAsia"/>
        </w:rPr>
        <w:t>公众意见情况</w:t>
      </w:r>
      <w:r>
        <w:rPr>
          <w:rFonts w:hint="eastAsia"/>
        </w:rPr>
        <w:tab/>
      </w:r>
      <w:r>
        <w:rPr>
          <w:rFonts w:hint="eastAsia"/>
        </w:rPr>
        <w:fldChar w:fldCharType="begin"/>
      </w:r>
      <w:r>
        <w:rPr>
          <w:rFonts w:hint="eastAsia"/>
        </w:rPr>
        <w:instrText xml:space="preserve"> </w:instrText>
      </w:r>
      <w:r>
        <w:instrText xml:space="preserve">PAGEREF _Toc207274028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10"/>
        <w:tabs>
          <w:tab w:val="left" w:pos="440"/>
          <w:tab w:val="right" w:leader="dot" w:pos="8296"/>
        </w:tabs>
        <w:rPr>
          <w:rFonts w:hint="eastAsia" w:asciiTheme="minorHAnsi" w:hAnsiTheme="minorHAnsi" w:eastAsiaTheme="minorEastAsia" w:cstheme="minorBidi"/>
          <w:b w:val="0"/>
          <w:bCs w:val="0"/>
          <w:caps w:val="0"/>
          <w:kern w:val="2"/>
          <w:sz w:val="22"/>
          <w:szCs w:val="24"/>
          <w14:ligatures w14:val="standardContextual"/>
        </w:rPr>
      </w:pPr>
      <w:r>
        <w:fldChar w:fldCharType="begin"/>
      </w:r>
      <w:r>
        <w:instrText xml:space="preserve"> HYPERLINK \l "_Toc207274029" </w:instrText>
      </w:r>
      <w:r>
        <w:fldChar w:fldCharType="separate"/>
      </w:r>
      <w:r>
        <w:rPr>
          <w:rStyle w:val="13"/>
          <w:rFonts w:hint="eastAsia"/>
          <w:kern w:val="32"/>
        </w:rPr>
        <w:t>3</w:t>
      </w:r>
      <w:r>
        <w:rPr>
          <w:rFonts w:hint="eastAsia" w:asciiTheme="minorHAnsi" w:hAnsiTheme="minorHAnsi" w:eastAsiaTheme="minorEastAsia" w:cstheme="minorBidi"/>
          <w:b w:val="0"/>
          <w:bCs w:val="0"/>
          <w:caps w:val="0"/>
          <w:kern w:val="2"/>
          <w:sz w:val="22"/>
          <w:szCs w:val="24"/>
          <w14:ligatures w14:val="standardContextual"/>
        </w:rPr>
        <w:tab/>
      </w:r>
      <w:r>
        <w:rPr>
          <w:rStyle w:val="13"/>
          <w:rFonts w:hint="eastAsia"/>
        </w:rPr>
        <w:t>征求意见稿形成后信息公开情况</w:t>
      </w:r>
      <w:r>
        <w:rPr>
          <w:rFonts w:hint="eastAsia"/>
        </w:rPr>
        <w:tab/>
      </w:r>
      <w:r>
        <w:rPr>
          <w:rFonts w:hint="eastAsia"/>
        </w:rPr>
        <w:fldChar w:fldCharType="begin"/>
      </w:r>
      <w:r>
        <w:rPr>
          <w:rFonts w:hint="eastAsia"/>
        </w:rPr>
        <w:instrText xml:space="preserve"> </w:instrText>
      </w:r>
      <w:r>
        <w:instrText xml:space="preserve">PAGEREF _Toc207274029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11"/>
        <w:tabs>
          <w:tab w:val="left" w:pos="880"/>
          <w:tab w:val="right" w:leader="dot" w:pos="8296"/>
        </w:tabs>
        <w:rPr>
          <w:rFonts w:hint="eastAsia" w:asciiTheme="minorHAnsi" w:hAnsiTheme="minorHAnsi" w:eastAsiaTheme="minorEastAsia" w:cstheme="minorBidi"/>
          <w:smallCaps w:val="0"/>
          <w:kern w:val="2"/>
          <w:sz w:val="22"/>
          <w:szCs w:val="24"/>
          <w14:ligatures w14:val="standardContextual"/>
        </w:rPr>
      </w:pPr>
      <w:r>
        <w:fldChar w:fldCharType="begin"/>
      </w:r>
      <w:r>
        <w:instrText xml:space="preserve"> HYPERLINK \l "_Toc207274030" </w:instrText>
      </w:r>
      <w:r>
        <w:fldChar w:fldCharType="separate"/>
      </w:r>
      <w:r>
        <w:rPr>
          <w:rStyle w:val="13"/>
          <w:rFonts w:hint="eastAsia"/>
          <w:kern w:val="28"/>
        </w:rPr>
        <w:t>3.1</w:t>
      </w:r>
      <w:r>
        <w:rPr>
          <w:rFonts w:hint="eastAsia" w:asciiTheme="minorHAnsi" w:hAnsiTheme="minorHAnsi" w:eastAsiaTheme="minorEastAsia" w:cstheme="minorBidi"/>
          <w:smallCaps w:val="0"/>
          <w:kern w:val="2"/>
          <w:sz w:val="22"/>
          <w:szCs w:val="24"/>
          <w14:ligatures w14:val="standardContextual"/>
        </w:rPr>
        <w:tab/>
      </w:r>
      <w:r>
        <w:rPr>
          <w:rStyle w:val="13"/>
          <w:rFonts w:hint="eastAsia"/>
        </w:rPr>
        <w:t>公示内容及方式</w:t>
      </w:r>
      <w:r>
        <w:rPr>
          <w:rFonts w:hint="eastAsia"/>
        </w:rPr>
        <w:tab/>
      </w:r>
      <w:r>
        <w:rPr>
          <w:rFonts w:hint="eastAsia"/>
        </w:rPr>
        <w:fldChar w:fldCharType="begin"/>
      </w:r>
      <w:r>
        <w:rPr>
          <w:rFonts w:hint="eastAsia"/>
        </w:rPr>
        <w:instrText xml:space="preserve"> </w:instrText>
      </w:r>
      <w:r>
        <w:instrText xml:space="preserve">PAGEREF _Toc207274030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11"/>
        <w:tabs>
          <w:tab w:val="left" w:pos="880"/>
          <w:tab w:val="right" w:leader="dot" w:pos="8296"/>
        </w:tabs>
        <w:rPr>
          <w:rFonts w:hint="eastAsia" w:asciiTheme="minorHAnsi" w:hAnsiTheme="minorHAnsi" w:eastAsiaTheme="minorEastAsia" w:cstheme="minorBidi"/>
          <w:smallCaps w:val="0"/>
          <w:kern w:val="2"/>
          <w:sz w:val="22"/>
          <w:szCs w:val="24"/>
          <w14:ligatures w14:val="standardContextual"/>
        </w:rPr>
      </w:pPr>
      <w:r>
        <w:fldChar w:fldCharType="begin"/>
      </w:r>
      <w:r>
        <w:instrText xml:space="preserve"> HYPERLINK \l "_Toc207274031" </w:instrText>
      </w:r>
      <w:r>
        <w:fldChar w:fldCharType="separate"/>
      </w:r>
      <w:r>
        <w:rPr>
          <w:rStyle w:val="13"/>
          <w:rFonts w:hint="eastAsia"/>
          <w:kern w:val="28"/>
        </w:rPr>
        <w:t>3.2</w:t>
      </w:r>
      <w:r>
        <w:rPr>
          <w:rFonts w:hint="eastAsia" w:asciiTheme="minorHAnsi" w:hAnsiTheme="minorHAnsi" w:eastAsiaTheme="minorEastAsia" w:cstheme="minorBidi"/>
          <w:smallCaps w:val="0"/>
          <w:kern w:val="2"/>
          <w:sz w:val="22"/>
          <w:szCs w:val="24"/>
          <w14:ligatures w14:val="standardContextual"/>
        </w:rPr>
        <w:tab/>
      </w:r>
      <w:r>
        <w:rPr>
          <w:rStyle w:val="13"/>
          <w:rFonts w:hint="eastAsia"/>
        </w:rPr>
        <w:t>公示方式</w:t>
      </w:r>
      <w:r>
        <w:rPr>
          <w:rFonts w:hint="eastAsia"/>
        </w:rPr>
        <w:tab/>
      </w:r>
      <w:r>
        <w:rPr>
          <w:rFonts w:hint="eastAsia"/>
        </w:rPr>
        <w:fldChar w:fldCharType="begin"/>
      </w:r>
      <w:r>
        <w:rPr>
          <w:rFonts w:hint="eastAsia"/>
        </w:rPr>
        <w:instrText xml:space="preserve"> </w:instrText>
      </w:r>
      <w:r>
        <w:instrText xml:space="preserve">PAGEREF _Toc207274031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pPr>
        <w:pStyle w:val="10"/>
        <w:tabs>
          <w:tab w:val="left" w:pos="440"/>
          <w:tab w:val="right" w:leader="dot" w:pos="8296"/>
        </w:tabs>
        <w:rPr>
          <w:rFonts w:hint="eastAsia" w:asciiTheme="minorHAnsi" w:hAnsiTheme="minorHAnsi" w:eastAsiaTheme="minorEastAsia" w:cstheme="minorBidi"/>
          <w:b w:val="0"/>
          <w:bCs w:val="0"/>
          <w:caps w:val="0"/>
          <w:kern w:val="2"/>
          <w:sz w:val="22"/>
          <w:szCs w:val="24"/>
          <w14:ligatures w14:val="standardContextual"/>
        </w:rPr>
      </w:pPr>
      <w:r>
        <w:fldChar w:fldCharType="begin"/>
      </w:r>
      <w:r>
        <w:instrText xml:space="preserve"> HYPERLINK \l "_Toc207274032" </w:instrText>
      </w:r>
      <w:r>
        <w:fldChar w:fldCharType="separate"/>
      </w:r>
      <w:r>
        <w:rPr>
          <w:rStyle w:val="13"/>
          <w:rFonts w:hint="eastAsia"/>
          <w:kern w:val="32"/>
        </w:rPr>
        <w:t>4</w:t>
      </w:r>
      <w:r>
        <w:rPr>
          <w:rFonts w:hint="eastAsia" w:asciiTheme="minorHAnsi" w:hAnsiTheme="minorHAnsi" w:eastAsiaTheme="minorEastAsia" w:cstheme="minorBidi"/>
          <w:b w:val="0"/>
          <w:bCs w:val="0"/>
          <w:caps w:val="0"/>
          <w:kern w:val="2"/>
          <w:sz w:val="22"/>
          <w:szCs w:val="24"/>
          <w14:ligatures w14:val="standardContextual"/>
        </w:rPr>
        <w:tab/>
      </w:r>
      <w:r>
        <w:rPr>
          <w:rStyle w:val="13"/>
          <w:rFonts w:hint="eastAsia"/>
        </w:rPr>
        <w:t>其他公众参与情况</w:t>
      </w:r>
      <w:r>
        <w:rPr>
          <w:rFonts w:hint="eastAsia"/>
        </w:rPr>
        <w:tab/>
      </w:r>
      <w:r>
        <w:rPr>
          <w:rFonts w:hint="eastAsia"/>
        </w:rPr>
        <w:fldChar w:fldCharType="begin"/>
      </w:r>
      <w:r>
        <w:rPr>
          <w:rFonts w:hint="eastAsia"/>
        </w:rPr>
        <w:instrText xml:space="preserve"> </w:instrText>
      </w:r>
      <w:r>
        <w:instrText xml:space="preserve">PAGEREF _Toc207274032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pPr>
        <w:pStyle w:val="11"/>
        <w:tabs>
          <w:tab w:val="left" w:pos="880"/>
          <w:tab w:val="right" w:leader="dot" w:pos="8296"/>
        </w:tabs>
        <w:rPr>
          <w:rFonts w:hint="eastAsia" w:asciiTheme="minorHAnsi" w:hAnsiTheme="minorHAnsi" w:eastAsiaTheme="minorEastAsia" w:cstheme="minorBidi"/>
          <w:smallCaps w:val="0"/>
          <w:kern w:val="2"/>
          <w:sz w:val="22"/>
          <w:szCs w:val="24"/>
          <w14:ligatures w14:val="standardContextual"/>
        </w:rPr>
      </w:pPr>
      <w:r>
        <w:fldChar w:fldCharType="begin"/>
      </w:r>
      <w:r>
        <w:instrText xml:space="preserve"> HYPERLINK \l "_Toc207274033" </w:instrText>
      </w:r>
      <w:r>
        <w:fldChar w:fldCharType="separate"/>
      </w:r>
      <w:r>
        <w:rPr>
          <w:rStyle w:val="13"/>
          <w:rFonts w:hint="eastAsia"/>
          <w:kern w:val="28"/>
        </w:rPr>
        <w:t>4.1</w:t>
      </w:r>
      <w:r>
        <w:rPr>
          <w:rFonts w:hint="eastAsia" w:asciiTheme="minorHAnsi" w:hAnsiTheme="minorHAnsi" w:eastAsiaTheme="minorEastAsia" w:cstheme="minorBidi"/>
          <w:smallCaps w:val="0"/>
          <w:kern w:val="2"/>
          <w:sz w:val="22"/>
          <w:szCs w:val="24"/>
          <w14:ligatures w14:val="standardContextual"/>
        </w:rPr>
        <w:tab/>
      </w:r>
      <w:r>
        <w:rPr>
          <w:rStyle w:val="13"/>
          <w:rFonts w:hint="eastAsia"/>
        </w:rPr>
        <w:t>调查范围与对象</w:t>
      </w:r>
      <w:r>
        <w:rPr>
          <w:rFonts w:hint="eastAsia"/>
        </w:rPr>
        <w:tab/>
      </w:r>
      <w:r>
        <w:rPr>
          <w:rFonts w:hint="eastAsia"/>
        </w:rPr>
        <w:fldChar w:fldCharType="begin"/>
      </w:r>
      <w:r>
        <w:rPr>
          <w:rFonts w:hint="eastAsia"/>
        </w:rPr>
        <w:instrText xml:space="preserve"> </w:instrText>
      </w:r>
      <w:r>
        <w:instrText xml:space="preserve">PAGEREF _Toc207274033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pPr>
        <w:pStyle w:val="11"/>
        <w:tabs>
          <w:tab w:val="left" w:pos="880"/>
          <w:tab w:val="right" w:leader="dot" w:pos="8296"/>
        </w:tabs>
        <w:rPr>
          <w:rFonts w:hint="eastAsia" w:asciiTheme="minorHAnsi" w:hAnsiTheme="minorHAnsi" w:eastAsiaTheme="minorEastAsia" w:cstheme="minorBidi"/>
          <w:smallCaps w:val="0"/>
          <w:kern w:val="2"/>
          <w:sz w:val="22"/>
          <w:szCs w:val="24"/>
          <w14:ligatures w14:val="standardContextual"/>
        </w:rPr>
      </w:pPr>
      <w:r>
        <w:fldChar w:fldCharType="begin"/>
      </w:r>
      <w:r>
        <w:instrText xml:space="preserve"> HYPERLINK \l "_Toc207274034" </w:instrText>
      </w:r>
      <w:r>
        <w:fldChar w:fldCharType="separate"/>
      </w:r>
      <w:r>
        <w:rPr>
          <w:rStyle w:val="13"/>
          <w:rFonts w:hint="eastAsia"/>
          <w:kern w:val="28"/>
        </w:rPr>
        <w:t>4.2</w:t>
      </w:r>
      <w:r>
        <w:rPr>
          <w:rFonts w:hint="eastAsia" w:asciiTheme="minorHAnsi" w:hAnsiTheme="minorHAnsi" w:eastAsiaTheme="minorEastAsia" w:cstheme="minorBidi"/>
          <w:smallCaps w:val="0"/>
          <w:kern w:val="2"/>
          <w:sz w:val="22"/>
          <w:szCs w:val="24"/>
          <w14:ligatures w14:val="standardContextual"/>
        </w:rPr>
        <w:tab/>
      </w:r>
      <w:r>
        <w:rPr>
          <w:rStyle w:val="13"/>
          <w:rFonts w:hint="eastAsia"/>
        </w:rPr>
        <w:t>调查内容</w:t>
      </w:r>
      <w:r>
        <w:rPr>
          <w:rFonts w:hint="eastAsia"/>
        </w:rPr>
        <w:tab/>
      </w:r>
      <w:r>
        <w:rPr>
          <w:rFonts w:hint="eastAsia"/>
        </w:rPr>
        <w:fldChar w:fldCharType="begin"/>
      </w:r>
      <w:r>
        <w:rPr>
          <w:rFonts w:hint="eastAsia"/>
        </w:rPr>
        <w:instrText xml:space="preserve"> </w:instrText>
      </w:r>
      <w:r>
        <w:instrText xml:space="preserve">PAGEREF _Toc207274034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pPr>
        <w:pStyle w:val="11"/>
        <w:tabs>
          <w:tab w:val="left" w:pos="880"/>
          <w:tab w:val="right" w:leader="dot" w:pos="8296"/>
        </w:tabs>
        <w:rPr>
          <w:rFonts w:hint="eastAsia" w:asciiTheme="minorHAnsi" w:hAnsiTheme="minorHAnsi" w:eastAsiaTheme="minorEastAsia" w:cstheme="minorBidi"/>
          <w:smallCaps w:val="0"/>
          <w:kern w:val="2"/>
          <w:sz w:val="22"/>
          <w:szCs w:val="24"/>
          <w14:ligatures w14:val="standardContextual"/>
        </w:rPr>
      </w:pPr>
      <w:r>
        <w:fldChar w:fldCharType="begin"/>
      </w:r>
      <w:r>
        <w:instrText xml:space="preserve"> HYPERLINK \l "_Toc207274035" </w:instrText>
      </w:r>
      <w:r>
        <w:fldChar w:fldCharType="separate"/>
      </w:r>
      <w:r>
        <w:rPr>
          <w:rStyle w:val="13"/>
          <w:rFonts w:hint="eastAsia"/>
          <w:kern w:val="28"/>
        </w:rPr>
        <w:t>4.3</w:t>
      </w:r>
      <w:r>
        <w:rPr>
          <w:rFonts w:hint="eastAsia" w:asciiTheme="minorHAnsi" w:hAnsiTheme="minorHAnsi" w:eastAsiaTheme="minorEastAsia" w:cstheme="minorBidi"/>
          <w:smallCaps w:val="0"/>
          <w:kern w:val="2"/>
          <w:sz w:val="22"/>
          <w:szCs w:val="24"/>
          <w14:ligatures w14:val="standardContextual"/>
        </w:rPr>
        <w:tab/>
      </w:r>
      <w:r>
        <w:rPr>
          <w:rStyle w:val="13"/>
          <w:rFonts w:hint="eastAsia"/>
        </w:rPr>
        <w:t>调查结果分析</w:t>
      </w:r>
      <w:r>
        <w:rPr>
          <w:rFonts w:hint="eastAsia"/>
        </w:rPr>
        <w:tab/>
      </w:r>
      <w:r>
        <w:rPr>
          <w:rFonts w:hint="eastAsia"/>
        </w:rPr>
        <w:fldChar w:fldCharType="begin"/>
      </w:r>
      <w:r>
        <w:rPr>
          <w:rFonts w:hint="eastAsia"/>
        </w:rPr>
        <w:instrText xml:space="preserve"> </w:instrText>
      </w:r>
      <w:r>
        <w:instrText xml:space="preserve">PAGEREF _Toc207274035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pPr>
        <w:pStyle w:val="10"/>
        <w:tabs>
          <w:tab w:val="left" w:pos="440"/>
          <w:tab w:val="right" w:leader="dot" w:pos="8296"/>
        </w:tabs>
        <w:rPr>
          <w:rFonts w:hint="eastAsia" w:asciiTheme="minorHAnsi" w:hAnsiTheme="minorHAnsi" w:eastAsiaTheme="minorEastAsia" w:cstheme="minorBidi"/>
          <w:b w:val="0"/>
          <w:bCs w:val="0"/>
          <w:caps w:val="0"/>
          <w:kern w:val="2"/>
          <w:sz w:val="22"/>
          <w:szCs w:val="24"/>
          <w14:ligatures w14:val="standardContextual"/>
        </w:rPr>
      </w:pPr>
      <w:r>
        <w:fldChar w:fldCharType="begin"/>
      </w:r>
      <w:r>
        <w:instrText xml:space="preserve"> HYPERLINK \l "_Toc207274036" </w:instrText>
      </w:r>
      <w:r>
        <w:fldChar w:fldCharType="separate"/>
      </w:r>
      <w:r>
        <w:rPr>
          <w:rStyle w:val="13"/>
          <w:rFonts w:hint="eastAsia"/>
          <w:kern w:val="32"/>
        </w:rPr>
        <w:t>5</w:t>
      </w:r>
      <w:r>
        <w:rPr>
          <w:rFonts w:hint="eastAsia" w:asciiTheme="minorHAnsi" w:hAnsiTheme="minorHAnsi" w:eastAsiaTheme="minorEastAsia" w:cstheme="minorBidi"/>
          <w:b w:val="0"/>
          <w:bCs w:val="0"/>
          <w:caps w:val="0"/>
          <w:kern w:val="2"/>
          <w:sz w:val="22"/>
          <w:szCs w:val="24"/>
          <w14:ligatures w14:val="standardContextual"/>
        </w:rPr>
        <w:tab/>
      </w:r>
      <w:r>
        <w:rPr>
          <w:rStyle w:val="13"/>
          <w:rFonts w:hint="eastAsia"/>
        </w:rPr>
        <w:t>公众参与调查结论</w:t>
      </w:r>
      <w:r>
        <w:rPr>
          <w:rFonts w:hint="eastAsia"/>
        </w:rPr>
        <w:tab/>
      </w:r>
      <w:r>
        <w:rPr>
          <w:rFonts w:hint="eastAsia"/>
        </w:rPr>
        <w:fldChar w:fldCharType="begin"/>
      </w:r>
      <w:r>
        <w:rPr>
          <w:rFonts w:hint="eastAsia"/>
        </w:rPr>
        <w:instrText xml:space="preserve"> </w:instrText>
      </w:r>
      <w:r>
        <w:instrText xml:space="preserve">PAGEREF _Toc207274036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pPr>
        <w:snapToGrid w:val="0"/>
        <w:spacing w:line="360" w:lineRule="auto"/>
        <w:jc w:val="center"/>
        <w:sectPr>
          <w:pgSz w:w="11906" w:h="16838"/>
          <w:pgMar w:top="1440" w:right="1800" w:bottom="1440" w:left="1800" w:header="851" w:footer="992" w:gutter="0"/>
          <w:cols w:space="425" w:num="1"/>
          <w:docGrid w:type="lines" w:linePitch="312" w:charSpace="0"/>
        </w:sectPr>
      </w:pPr>
      <w:r>
        <w:fldChar w:fldCharType="end"/>
      </w:r>
    </w:p>
    <w:p>
      <w:pPr>
        <w:pStyle w:val="2"/>
        <w:snapToGrid w:val="0"/>
        <w:rPr>
          <w:sz w:val="28"/>
          <w:szCs w:val="28"/>
        </w:rPr>
      </w:pPr>
      <w:bookmarkStart w:id="1" w:name="_Toc207274024"/>
      <w:r>
        <w:rPr>
          <w:rFonts w:hint="eastAsia"/>
          <w:sz w:val="28"/>
          <w:szCs w:val="28"/>
        </w:rPr>
        <w:t>概述</w:t>
      </w:r>
      <w:bookmarkEnd w:id="1"/>
    </w:p>
    <w:p>
      <w:pPr>
        <w:pStyle w:val="23"/>
        <w:adjustRightInd w:val="0"/>
        <w:snapToGrid w:val="0"/>
        <w:ind w:firstLine="480" w:firstLineChars="200"/>
        <w:rPr>
          <w:rFonts w:ascii="Times New Roman" w:hAnsi="Times New Roman"/>
        </w:rPr>
      </w:pPr>
      <w:r>
        <w:rPr>
          <w:rFonts w:hint="eastAsia" w:ascii="Times New Roman" w:hAnsi="Times New Roman"/>
        </w:rPr>
        <w:t>贵州金兰盛锦新材料有限公司由山西金兰化工股份有限公司和山西美锦能源股份有限公司共同发起成立。</w:t>
      </w:r>
    </w:p>
    <w:p>
      <w:pPr>
        <w:pStyle w:val="23"/>
        <w:adjustRightInd w:val="0"/>
        <w:snapToGrid w:val="0"/>
        <w:ind w:firstLine="480" w:firstLineChars="200"/>
        <w:rPr>
          <w:rFonts w:ascii="Times New Roman" w:hAnsi="Times New Roman"/>
        </w:rPr>
      </w:pPr>
      <w:r>
        <w:rPr>
          <w:rFonts w:hint="eastAsia" w:ascii="Times New Roman" w:hAnsi="Times New Roman"/>
        </w:rPr>
        <w:t>本项目依托山西美锦能源在六枝特区化工园区建设的煤焦氢综合利用示范项目，通过循环经济模式实现产业链纵向延伸与资源高效耦合。美锦焦化项目380万t/a焦化工程正在推进中，工程副产的30万t/a合成氨为本项目提供核心原料基础。贵州金兰盛锦新材料公司充分发挥股东方山西金兰化工在水溶肥领域的技术积累与美锦能源焦化副产物资源化优势，将焦化生产过程中富余的合成氨转化为高附加值的硝基水溶肥产品，既解决了焦化产业链副产品消纳问题，又打通了“煤焦化-合成氨-高端肥料”的循环产业路径。该布局通过纵向延伸实现资源梯度利用，将传统焦化产业的单一冶金焦输出升级为“焦炭+化工产品+新型肥料”的多元化产品结构，形成能源化工与现代农业的产业闭环，有效提升资源利用效率和项目综合收益。</w:t>
      </w:r>
    </w:p>
    <w:p>
      <w:pPr>
        <w:pStyle w:val="23"/>
        <w:adjustRightInd w:val="0"/>
        <w:snapToGrid w:val="0"/>
        <w:ind w:firstLine="480" w:firstLineChars="200"/>
        <w:rPr>
          <w:rFonts w:ascii="Times New Roman" w:hAnsi="Times New Roman"/>
        </w:rPr>
      </w:pPr>
      <w:r>
        <w:rPr>
          <w:rFonts w:hint="eastAsia" w:ascii="Times New Roman" w:hAnsi="Times New Roman"/>
        </w:rPr>
        <w:t>遵照《中华人民共和国环境影响评价法》《建设项目环境保护管理条例》（国务院令682号）和有关的法律法规，项目建设前应进行环境影响评价，以促使经济建设与环境保护的协调发展。贵州金兰盛锦新材料有限公司委托我院承担“贵州金兰盛锦新材料有限公司美锦煤焦氢综合利用硝基水溶肥生产制造项目”环境影响报告书的编制工作。根据《环境影响评价技术导则》规定的环境影响评价工作程序，我院在现场踏勘、调研、资料收集整理、分析的基础上，编制了《贵州金兰盛锦新材料有限公司美锦煤焦氢综合利用硝基水溶肥生产制造项目环境影响报告书》，现报请生态环境主管部门审查。</w:t>
      </w:r>
    </w:p>
    <w:p>
      <w:pPr>
        <w:adjustRightInd w:val="0"/>
        <w:snapToGrid w:val="0"/>
        <w:spacing w:line="360" w:lineRule="auto"/>
        <w:ind w:firstLine="420" w:firstLineChars="200"/>
      </w:pPr>
    </w:p>
    <w:p>
      <w:pPr>
        <w:pStyle w:val="2"/>
        <w:snapToGrid w:val="0"/>
        <w:rPr>
          <w:sz w:val="28"/>
          <w:szCs w:val="28"/>
        </w:rPr>
      </w:pPr>
      <w:bookmarkStart w:id="2" w:name="_Toc207274025"/>
      <w:r>
        <w:rPr>
          <w:rFonts w:hint="eastAsia"/>
          <w:sz w:val="28"/>
          <w:szCs w:val="28"/>
        </w:rPr>
        <w:t>首次环境影响评价信息公开情况</w:t>
      </w:r>
      <w:bookmarkEnd w:id="2"/>
    </w:p>
    <w:p>
      <w:pPr>
        <w:pStyle w:val="3"/>
        <w:snapToGrid w:val="0"/>
        <w:rPr>
          <w:sz w:val="24"/>
          <w:szCs w:val="24"/>
        </w:rPr>
      </w:pPr>
      <w:bookmarkStart w:id="3" w:name="_Toc207274026"/>
      <w:r>
        <w:rPr>
          <w:rFonts w:hint="eastAsia"/>
          <w:sz w:val="24"/>
          <w:szCs w:val="24"/>
        </w:rPr>
        <w:t>公示内容及日期</w:t>
      </w:r>
      <w:bookmarkEnd w:id="3"/>
    </w:p>
    <w:p>
      <w:pPr>
        <w:pStyle w:val="23"/>
        <w:snapToGrid w:val="0"/>
        <w:rPr>
          <w:rFonts w:ascii="Times New Roman" w:hAnsi="Times New Roman"/>
        </w:rPr>
      </w:pPr>
      <w:r>
        <w:rPr>
          <w:rFonts w:hint="eastAsia" w:ascii="Times New Roman" w:hAnsi="Times New Roman"/>
        </w:rPr>
        <w:t>根据《环境影响评价公众参与办法》（生态环境部令[</w:t>
      </w:r>
      <w:r>
        <w:rPr>
          <w:rFonts w:ascii="Times New Roman" w:hAnsi="Times New Roman"/>
        </w:rPr>
        <w:t>2018]</w:t>
      </w:r>
      <w:r>
        <w:rPr>
          <w:rFonts w:hint="eastAsia" w:ascii="Times New Roman" w:hAnsi="Times New Roman"/>
        </w:rPr>
        <w:t>第4号）中第九条：建设单位应当在确定环境影响报告书编制单位后7个工作日内，通过其网站、建设项目所在地公共媒体网站或者建设项目所在地相关政府网站，进行第一次公开。</w:t>
      </w:r>
    </w:p>
    <w:p>
      <w:pPr>
        <w:snapToGrid w:val="0"/>
        <w:spacing w:line="360" w:lineRule="auto"/>
        <w:ind w:firstLine="480" w:firstLineChars="200"/>
        <w:rPr>
          <w:sz w:val="24"/>
          <w:lang w:val="zh-CN"/>
        </w:rPr>
      </w:pPr>
      <w:r>
        <w:rPr>
          <w:rFonts w:hint="eastAsia"/>
          <w:sz w:val="24"/>
          <w:lang w:val="zh-CN"/>
        </w:rPr>
        <w:t>我单位在确定环境影响报告书编制单位后，于2</w:t>
      </w:r>
      <w:r>
        <w:rPr>
          <w:sz w:val="24"/>
          <w:lang w:val="zh-CN"/>
        </w:rPr>
        <w:t>02</w:t>
      </w:r>
      <w:r>
        <w:rPr>
          <w:rFonts w:hint="eastAsia"/>
          <w:sz w:val="24"/>
          <w:lang w:val="zh-CN"/>
        </w:rPr>
        <w:t>4年11月22日在六枝特区人民政府网站上进行了第一次公示。公示内容主要有：建设项目名称及内容、建设单位名称及联系方式、环评单位名称、征求公众意见的主要事项、公众意见表的网络链接、公众提出意见的主要反馈方式及途径。</w:t>
      </w:r>
    </w:p>
    <w:p>
      <w:pPr>
        <w:snapToGrid w:val="0"/>
        <w:spacing w:line="360" w:lineRule="auto"/>
        <w:ind w:firstLine="480" w:firstLineChars="200"/>
        <w:rPr>
          <w:sz w:val="24"/>
        </w:rPr>
      </w:pPr>
      <w:r>
        <w:rPr>
          <w:rFonts w:hint="eastAsia"/>
          <w:sz w:val="24"/>
          <w:lang w:val="zh-CN"/>
        </w:rPr>
        <w:t>首次公示载体和公示内容均符合</w:t>
      </w:r>
      <w:r>
        <w:rPr>
          <w:rFonts w:hint="eastAsia"/>
          <w:sz w:val="24"/>
        </w:rPr>
        <w:t>《环境影响评价公众参与办法》（生态环境部令[</w:t>
      </w:r>
      <w:r>
        <w:rPr>
          <w:sz w:val="24"/>
        </w:rPr>
        <w:t>2018]</w:t>
      </w:r>
      <w:r>
        <w:rPr>
          <w:rFonts w:hint="eastAsia"/>
          <w:sz w:val="24"/>
        </w:rPr>
        <w:t>第4号）第九条的相关规定。</w:t>
      </w:r>
    </w:p>
    <w:p>
      <w:pPr>
        <w:snapToGrid w:val="0"/>
        <w:spacing w:line="360" w:lineRule="auto"/>
        <w:ind w:firstLine="480" w:firstLineChars="200"/>
        <w:rPr>
          <w:sz w:val="24"/>
        </w:rPr>
      </w:pPr>
      <w:r>
        <w:rPr>
          <w:rFonts w:hint="eastAsia"/>
          <w:sz w:val="24"/>
        </w:rPr>
        <w:t>本项目第一次公示内容详见表2</w:t>
      </w:r>
      <w:r>
        <w:rPr>
          <w:sz w:val="24"/>
        </w:rPr>
        <w:t>-1</w:t>
      </w:r>
      <w:r>
        <w:rPr>
          <w:rFonts w:hint="eastAsia"/>
          <w:sz w:val="24"/>
        </w:rPr>
        <w:t>。</w:t>
      </w:r>
    </w:p>
    <w:p>
      <w:pPr>
        <w:snapToGrid w:val="0"/>
        <w:spacing w:line="360" w:lineRule="auto"/>
        <w:jc w:val="center"/>
        <w:rPr>
          <w:b/>
          <w:bCs/>
          <w:sz w:val="24"/>
        </w:rPr>
      </w:pPr>
      <w:r>
        <w:rPr>
          <w:rFonts w:hint="eastAsia"/>
          <w:b/>
          <w:bCs/>
          <w:sz w:val="24"/>
        </w:rPr>
        <w:t>表2</w:t>
      </w:r>
      <w:r>
        <w:rPr>
          <w:b/>
          <w:bCs/>
          <w:sz w:val="24"/>
        </w:rPr>
        <w:t xml:space="preserve">-1   </w:t>
      </w:r>
      <w:r>
        <w:rPr>
          <w:rFonts w:hint="eastAsia"/>
          <w:b/>
          <w:bCs/>
          <w:sz w:val="24"/>
        </w:rPr>
        <w:t>第一次公示内容</w:t>
      </w:r>
    </w:p>
    <w:tbl>
      <w:tblPr>
        <w:tblStyle w:val="1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8296" w:type="dxa"/>
            <w:vAlign w:val="center"/>
          </w:tcPr>
          <w:p>
            <w:pPr>
              <w:adjustRightInd w:val="0"/>
              <w:snapToGrid w:val="0"/>
              <w:spacing w:line="360" w:lineRule="auto"/>
              <w:jc w:val="center"/>
              <w:rPr>
                <w:b/>
                <w:sz w:val="30"/>
                <w:szCs w:val="30"/>
              </w:rPr>
            </w:pPr>
            <w:bookmarkStart w:id="4" w:name="OLE_LINK1"/>
            <w:r>
              <w:rPr>
                <w:rFonts w:hint="eastAsia"/>
                <w:b/>
                <w:sz w:val="30"/>
                <w:szCs w:val="30"/>
              </w:rPr>
              <w:t>贵州金兰盛锦新材料有限公司</w:t>
            </w:r>
            <w:bookmarkEnd w:id="4"/>
            <w:r>
              <w:rPr>
                <w:rFonts w:hint="eastAsia"/>
                <w:b/>
                <w:sz w:val="30"/>
                <w:szCs w:val="30"/>
              </w:rPr>
              <w:t>美锦煤焦氢综合利用硝基水溶肥生产制造项目环境影响评价第一次公示</w:t>
            </w:r>
          </w:p>
          <w:p>
            <w:pPr>
              <w:adjustRightInd w:val="0"/>
              <w:snapToGrid w:val="0"/>
              <w:spacing w:line="360" w:lineRule="auto"/>
              <w:jc w:val="center"/>
              <w:rPr>
                <w:b/>
                <w:sz w:val="24"/>
              </w:rPr>
            </w:pPr>
          </w:p>
          <w:p>
            <w:pPr>
              <w:adjustRightInd w:val="0"/>
              <w:snapToGrid w:val="0"/>
              <w:spacing w:line="360" w:lineRule="auto"/>
              <w:ind w:firstLine="420" w:firstLineChars="200"/>
              <w:rPr>
                <w:szCs w:val="21"/>
              </w:rPr>
            </w:pPr>
            <w:r>
              <w:rPr>
                <w:rFonts w:hint="eastAsia"/>
                <w:szCs w:val="21"/>
              </w:rPr>
              <w:t>贵州金兰盛锦新材料有限公司美锦煤焦氢综合利用硝基水溶肥生产制造项目开展环境影响评价工作，根据《环境影响评价公众参与办法》（生态环境部令［2018］第4号）中的相关规定进行第一次公众参与公示，公开建设项目及环境影响评价的有关信息，征求公众意见。现将该项目有关事宜公告如下：</w:t>
            </w:r>
          </w:p>
          <w:p>
            <w:pPr>
              <w:adjustRightInd w:val="0"/>
              <w:snapToGrid w:val="0"/>
              <w:spacing w:line="360" w:lineRule="auto"/>
              <w:ind w:firstLine="420" w:firstLineChars="200"/>
              <w:rPr>
                <w:szCs w:val="21"/>
              </w:rPr>
            </w:pPr>
            <w:r>
              <w:rPr>
                <w:rFonts w:hint="eastAsia"/>
                <w:szCs w:val="21"/>
              </w:rPr>
              <w:t>一、项目概况</w:t>
            </w:r>
          </w:p>
          <w:p>
            <w:pPr>
              <w:adjustRightInd w:val="0"/>
              <w:snapToGrid w:val="0"/>
              <w:spacing w:line="360" w:lineRule="auto"/>
              <w:ind w:firstLine="420" w:firstLineChars="200"/>
              <w:rPr>
                <w:szCs w:val="21"/>
              </w:rPr>
            </w:pPr>
            <w:r>
              <w:rPr>
                <w:rFonts w:hint="eastAsia"/>
                <w:szCs w:val="21"/>
              </w:rPr>
              <w:t>（1）项目名称：贵州金兰盛锦新材料有限公司美锦煤焦氢综合利用硝基水溶肥生产制造项目</w:t>
            </w:r>
          </w:p>
          <w:p>
            <w:pPr>
              <w:adjustRightInd w:val="0"/>
              <w:snapToGrid w:val="0"/>
              <w:spacing w:line="360" w:lineRule="auto"/>
              <w:ind w:firstLine="420" w:firstLineChars="200"/>
              <w:rPr>
                <w:szCs w:val="21"/>
              </w:rPr>
            </w:pPr>
            <w:r>
              <w:rPr>
                <w:rFonts w:hint="eastAsia"/>
                <w:szCs w:val="21"/>
              </w:rPr>
              <w:t>（2）建设地点：新窑镇六盘水路喜循环经济产业园区</w:t>
            </w:r>
          </w:p>
          <w:p>
            <w:pPr>
              <w:adjustRightInd w:val="0"/>
              <w:snapToGrid w:val="0"/>
              <w:spacing w:line="360" w:lineRule="auto"/>
              <w:ind w:firstLine="420" w:firstLineChars="200"/>
              <w:rPr>
                <w:szCs w:val="21"/>
              </w:rPr>
            </w:pPr>
            <w:r>
              <w:rPr>
                <w:rFonts w:hint="eastAsia"/>
                <w:szCs w:val="21"/>
              </w:rPr>
              <w:t>（3）建设内容：建设年产166万吨硝基水溶肥生产线，项目分两期建设。其中一期含年产27万吨硝酸装置、年产15万吨硝酸装置、年产30万吨硝酸铵钙生产线、年产10万吨四水硝酸钙生产线、年产15万吨改性硝酸钾生产线、年产10.8万吨结晶硝酸钾生产线、年产15万吨氯基复合肥生产线、年产5.3万吨氯化铵生产线、年产5万吨土壤调理剂（钙泥）生产线、年产5万吨氨水生产线；二期含年产15万吨硝酸装置、年产30万吨硝酸磷肥生产线、年产27万吨硝酸钙镁肥生产线、年产13万吨商品磷精矿生产线。</w:t>
            </w:r>
          </w:p>
          <w:p>
            <w:pPr>
              <w:adjustRightInd w:val="0"/>
              <w:snapToGrid w:val="0"/>
              <w:spacing w:line="360" w:lineRule="auto"/>
              <w:ind w:firstLine="420" w:firstLineChars="200"/>
              <w:rPr>
                <w:szCs w:val="21"/>
              </w:rPr>
            </w:pPr>
            <w:r>
              <w:rPr>
                <w:rFonts w:hint="eastAsia"/>
                <w:szCs w:val="21"/>
              </w:rPr>
              <w:t>二、建设单位名称及联系方式</w:t>
            </w:r>
          </w:p>
          <w:p>
            <w:pPr>
              <w:adjustRightInd w:val="0"/>
              <w:snapToGrid w:val="0"/>
              <w:spacing w:line="360" w:lineRule="auto"/>
              <w:ind w:firstLine="420" w:firstLineChars="200"/>
              <w:rPr>
                <w:szCs w:val="21"/>
              </w:rPr>
            </w:pPr>
            <w:r>
              <w:rPr>
                <w:rFonts w:hint="eastAsia"/>
                <w:szCs w:val="21"/>
              </w:rPr>
              <w:t>建设单位：贵州金兰盛锦新材料有限公司</w:t>
            </w:r>
          </w:p>
          <w:p>
            <w:pPr>
              <w:adjustRightInd w:val="0"/>
              <w:snapToGrid w:val="0"/>
              <w:spacing w:line="360" w:lineRule="auto"/>
              <w:ind w:firstLine="420" w:firstLineChars="200"/>
              <w:rPr>
                <w:szCs w:val="21"/>
              </w:rPr>
            </w:pPr>
            <w:r>
              <w:rPr>
                <w:rFonts w:hint="eastAsia"/>
                <w:szCs w:val="21"/>
              </w:rPr>
              <w:t>联 系 人：王毓国</w:t>
            </w:r>
          </w:p>
          <w:p>
            <w:pPr>
              <w:adjustRightInd w:val="0"/>
              <w:snapToGrid w:val="0"/>
              <w:spacing w:line="360" w:lineRule="auto"/>
              <w:ind w:firstLine="420" w:firstLineChars="200"/>
              <w:rPr>
                <w:szCs w:val="21"/>
              </w:rPr>
            </w:pPr>
            <w:r>
              <w:rPr>
                <w:rFonts w:hint="eastAsia"/>
                <w:szCs w:val="21"/>
              </w:rPr>
              <w:t>联系电话：18203485277</w:t>
            </w:r>
          </w:p>
          <w:p>
            <w:pPr>
              <w:adjustRightInd w:val="0"/>
              <w:snapToGrid w:val="0"/>
              <w:spacing w:line="360" w:lineRule="auto"/>
              <w:ind w:firstLine="420" w:firstLineChars="200"/>
              <w:rPr>
                <w:szCs w:val="21"/>
              </w:rPr>
            </w:pPr>
            <w:r>
              <w:rPr>
                <w:rFonts w:hint="eastAsia"/>
                <w:szCs w:val="21"/>
              </w:rPr>
              <w:t>邮 箱：wangyuguo＠knlanchem．cn</w:t>
            </w:r>
          </w:p>
          <w:p>
            <w:pPr>
              <w:adjustRightInd w:val="0"/>
              <w:snapToGrid w:val="0"/>
              <w:spacing w:line="360" w:lineRule="auto"/>
              <w:ind w:firstLine="420" w:firstLineChars="200"/>
              <w:rPr>
                <w:szCs w:val="21"/>
              </w:rPr>
            </w:pPr>
            <w:r>
              <w:rPr>
                <w:rFonts w:hint="eastAsia"/>
                <w:szCs w:val="21"/>
              </w:rPr>
              <w:t>三、环境影响报告书编制单位名称：贵州省化工研究院</w:t>
            </w:r>
          </w:p>
          <w:p>
            <w:pPr>
              <w:adjustRightInd w:val="0"/>
              <w:snapToGrid w:val="0"/>
              <w:spacing w:line="360" w:lineRule="auto"/>
              <w:ind w:firstLine="420" w:firstLineChars="200"/>
              <w:rPr>
                <w:szCs w:val="21"/>
              </w:rPr>
            </w:pPr>
            <w:r>
              <w:rPr>
                <w:rFonts w:hint="eastAsia"/>
                <w:szCs w:val="21"/>
              </w:rPr>
              <w:t>四、公众意见表：见附件，公众可下载意见表并按照规定格式要求填写。</w:t>
            </w:r>
          </w:p>
          <w:p>
            <w:pPr>
              <w:adjustRightInd w:val="0"/>
              <w:snapToGrid w:val="0"/>
              <w:spacing w:line="360" w:lineRule="auto"/>
              <w:ind w:firstLine="420" w:firstLineChars="200"/>
              <w:rPr>
                <w:szCs w:val="21"/>
              </w:rPr>
            </w:pPr>
            <w:r>
              <w:rPr>
                <w:rFonts w:hint="eastAsia"/>
                <w:szCs w:val="21"/>
              </w:rPr>
              <w:t>五、提交公众意见表的方式和途径</w:t>
            </w:r>
          </w:p>
          <w:p>
            <w:pPr>
              <w:adjustRightInd w:val="0"/>
              <w:snapToGrid w:val="0"/>
              <w:spacing w:line="360" w:lineRule="auto"/>
              <w:ind w:firstLine="420" w:firstLineChars="200"/>
              <w:rPr>
                <w:szCs w:val="21"/>
              </w:rPr>
            </w:pPr>
            <w:r>
              <w:rPr>
                <w:rFonts w:hint="eastAsia"/>
                <w:szCs w:val="21"/>
              </w:rPr>
              <w:t>公众可通过信函、电子邮件或拨打电话等方式，向建设单位提交与建设项目环境影响有关的意见和建议。</w:t>
            </w:r>
          </w:p>
          <w:p>
            <w:pPr>
              <w:adjustRightInd w:val="0"/>
              <w:snapToGrid w:val="0"/>
              <w:spacing w:line="360" w:lineRule="auto"/>
              <w:ind w:firstLine="420" w:firstLineChars="200"/>
              <w:rPr>
                <w:szCs w:val="21"/>
              </w:rPr>
            </w:pPr>
            <w:r>
              <w:rPr>
                <w:rFonts w:hint="eastAsia"/>
                <w:szCs w:val="21"/>
              </w:rPr>
              <w:t>注：公众在提交意见时，应当提供有效的联系方式。国家鼓励采用实名方式提交意见并提供常住地址。</w:t>
            </w:r>
          </w:p>
          <w:p>
            <w:pPr>
              <w:adjustRightInd w:val="0"/>
              <w:snapToGrid w:val="0"/>
              <w:spacing w:line="360" w:lineRule="auto"/>
              <w:ind w:firstLine="420" w:firstLineChars="200"/>
              <w:rPr>
                <w:szCs w:val="21"/>
              </w:rPr>
            </w:pPr>
            <w:r>
              <w:rPr>
                <w:rFonts w:hint="eastAsia"/>
                <w:szCs w:val="21"/>
              </w:rPr>
              <w:t>六、公示和征求公众意见时间：2024年11月22日～12月5日。</w:t>
            </w:r>
          </w:p>
          <w:p>
            <w:pPr>
              <w:adjustRightInd w:val="0"/>
              <w:snapToGrid w:val="0"/>
              <w:spacing w:line="360" w:lineRule="auto"/>
              <w:ind w:firstLine="420" w:firstLineChars="200"/>
              <w:rPr>
                <w:szCs w:val="21"/>
              </w:rPr>
            </w:pPr>
          </w:p>
          <w:p>
            <w:pPr>
              <w:adjustRightInd w:val="0"/>
              <w:snapToGrid w:val="0"/>
              <w:spacing w:line="360" w:lineRule="auto"/>
              <w:ind w:right="45" w:firstLine="420" w:firstLineChars="200"/>
              <w:jc w:val="right"/>
              <w:rPr>
                <w:szCs w:val="21"/>
              </w:rPr>
            </w:pPr>
            <w:r>
              <w:rPr>
                <w:rFonts w:hint="eastAsia"/>
                <w:szCs w:val="21"/>
              </w:rPr>
              <w:t>贵州金兰盛锦新材料有限公司</w:t>
            </w:r>
          </w:p>
          <w:p>
            <w:pPr>
              <w:adjustRightInd w:val="0"/>
              <w:snapToGrid w:val="0"/>
              <w:spacing w:line="360" w:lineRule="auto"/>
              <w:ind w:right="495" w:firstLine="420" w:firstLineChars="200"/>
              <w:jc w:val="right"/>
              <w:rPr>
                <w:kern w:val="0"/>
                <w:sz w:val="20"/>
                <w:szCs w:val="21"/>
              </w:rPr>
            </w:pPr>
            <w:r>
              <w:rPr>
                <w:rFonts w:hint="eastAsia"/>
                <w:szCs w:val="21"/>
              </w:rPr>
              <w:t>2</w:t>
            </w:r>
            <w:r>
              <w:rPr>
                <w:szCs w:val="21"/>
              </w:rPr>
              <w:t>02</w:t>
            </w:r>
            <w:r>
              <w:rPr>
                <w:rFonts w:hint="eastAsia"/>
                <w:szCs w:val="21"/>
              </w:rPr>
              <w:t>4年11月22日</w:t>
            </w:r>
          </w:p>
          <w:p>
            <w:pPr>
              <w:adjustRightInd w:val="0"/>
              <w:snapToGrid w:val="0"/>
              <w:spacing w:line="360" w:lineRule="auto"/>
              <w:ind w:right="315" w:firstLine="400" w:firstLineChars="200"/>
              <w:jc w:val="right"/>
              <w:rPr>
                <w:kern w:val="0"/>
                <w:sz w:val="20"/>
                <w:szCs w:val="21"/>
              </w:rPr>
            </w:pPr>
          </w:p>
        </w:tc>
      </w:tr>
    </w:tbl>
    <w:p>
      <w:pPr>
        <w:pStyle w:val="3"/>
        <w:snapToGrid w:val="0"/>
        <w:spacing w:before="100" w:beforeAutospacing="1"/>
        <w:ind w:left="578" w:hanging="578"/>
        <w:rPr>
          <w:sz w:val="24"/>
          <w:szCs w:val="24"/>
        </w:rPr>
      </w:pPr>
      <w:bookmarkStart w:id="5" w:name="_Toc207274027"/>
      <w:r>
        <w:rPr>
          <w:rFonts w:hint="eastAsia"/>
          <w:sz w:val="24"/>
          <w:szCs w:val="24"/>
        </w:rPr>
        <w:t>公开方式</w:t>
      </w:r>
      <w:bookmarkEnd w:id="5"/>
    </w:p>
    <w:p>
      <w:pPr>
        <w:pStyle w:val="23"/>
        <w:snapToGrid w:val="0"/>
        <w:rPr>
          <w:rFonts w:ascii="Times New Roman" w:hAnsi="Times New Roman"/>
        </w:rPr>
      </w:pPr>
      <w:r>
        <w:rPr>
          <w:rFonts w:ascii="Times New Roman" w:hAnsi="Times New Roman"/>
        </w:rPr>
        <w:t>根据《环境影响评价公众参与办法》（生态环境部令</w:t>
      </w:r>
      <w:r>
        <w:rPr>
          <w:rFonts w:hint="eastAsia" w:ascii="Times New Roman" w:hAnsi="Times New Roman"/>
        </w:rPr>
        <w:t>[2018</w:t>
      </w:r>
      <w:r>
        <w:rPr>
          <w:rFonts w:ascii="Times New Roman" w:hAnsi="Times New Roman"/>
        </w:rPr>
        <w:t>]第4号）中第九条要求，建设项目环境影响评价公众参与第一次公示应通过建设单位网站、建设项目所在地公共媒体网站或者建设项目所在地相关政府网站进行公开。我单位于202</w:t>
      </w:r>
      <w:r>
        <w:rPr>
          <w:rFonts w:hint="eastAsia" w:ascii="Times New Roman" w:hAnsi="Times New Roman"/>
          <w:lang w:val="en-US"/>
        </w:rPr>
        <w:t>4</w:t>
      </w:r>
      <w:r>
        <w:rPr>
          <w:rFonts w:ascii="Times New Roman" w:hAnsi="Times New Roman"/>
        </w:rPr>
        <w:t>年</w:t>
      </w:r>
      <w:r>
        <w:rPr>
          <w:rFonts w:hint="eastAsia" w:ascii="Times New Roman" w:hAnsi="Times New Roman"/>
        </w:rPr>
        <w:t>11</w:t>
      </w:r>
      <w:r>
        <w:rPr>
          <w:rFonts w:ascii="Times New Roman" w:hAnsi="Times New Roman"/>
        </w:rPr>
        <w:t>月2</w:t>
      </w:r>
      <w:r>
        <w:rPr>
          <w:rFonts w:hint="eastAsia" w:ascii="Times New Roman" w:hAnsi="Times New Roman"/>
        </w:rPr>
        <w:t>2</w:t>
      </w:r>
      <w:r>
        <w:rPr>
          <w:rFonts w:ascii="Times New Roman" w:hAnsi="Times New Roman"/>
        </w:rPr>
        <w:t>日</w:t>
      </w:r>
      <w:r>
        <w:rPr>
          <w:rFonts w:hint="eastAsia" w:ascii="Times New Roman" w:hAnsi="Times New Roman"/>
        </w:rPr>
        <w:t>在</w:t>
      </w:r>
      <w:r>
        <w:rPr>
          <w:rFonts w:hint="eastAsia"/>
        </w:rPr>
        <w:t>六枝特区人民政府网站上</w:t>
      </w:r>
      <w:r>
        <w:rPr>
          <w:rFonts w:ascii="Times New Roman" w:hAnsi="Times New Roman"/>
        </w:rPr>
        <w:t>进行了第一次网络公示，公示载体与内容均符合《环境影响评价公众参与办法》（生态环境部令</w:t>
      </w:r>
      <w:r>
        <w:rPr>
          <w:rFonts w:hint="eastAsia" w:ascii="Times New Roman" w:hAnsi="Times New Roman"/>
        </w:rPr>
        <w:t>[2018</w:t>
      </w:r>
      <w:r>
        <w:rPr>
          <w:rFonts w:ascii="Times New Roman" w:hAnsi="Times New Roman"/>
        </w:rPr>
        <w:t>]第4号）第九条的相关规定。公示情况详见图2.1。</w:t>
      </w:r>
    </w:p>
    <w:p>
      <w:pPr>
        <w:rPr>
          <w:lang w:val="zh-CN"/>
        </w:rPr>
      </w:pPr>
    </w:p>
    <w:p>
      <w:pPr>
        <w:pStyle w:val="3"/>
        <w:snapToGrid w:val="0"/>
        <w:rPr>
          <w:sz w:val="24"/>
          <w:szCs w:val="24"/>
        </w:rPr>
      </w:pPr>
      <w:bookmarkStart w:id="6" w:name="_Toc207274028"/>
      <w:r>
        <w:rPr>
          <w:rFonts w:hint="eastAsia"/>
          <w:sz w:val="24"/>
          <w:szCs w:val="24"/>
        </w:rPr>
        <w:t>公众意见情况</w:t>
      </w:r>
      <w:bookmarkEnd w:id="6"/>
    </w:p>
    <w:p>
      <w:pPr>
        <w:pStyle w:val="23"/>
        <w:snapToGrid w:val="0"/>
        <w:rPr>
          <w:rFonts w:ascii="Times New Roman" w:hAnsi="Times New Roman"/>
        </w:rPr>
      </w:pPr>
      <w:r>
        <w:rPr>
          <w:rFonts w:hint="eastAsia" w:ascii="Times New Roman" w:hAnsi="Times New Roman"/>
        </w:rPr>
        <w:t>本项目第一次公示情况良好，公示期间未收到公众的反馈意见。项目在建设和运营过程中，我单位将严格按照环境影响报告书以及环评批复要求对项目进行管理，力求将项目对周边环境的影响降至最低。</w:t>
      </w:r>
    </w:p>
    <w:p>
      <w:pPr>
        <w:adjustRightInd w:val="0"/>
        <w:snapToGrid w:val="0"/>
        <w:spacing w:line="360" w:lineRule="auto"/>
        <w:ind w:firstLine="420" w:firstLineChars="200"/>
        <w:jc w:val="center"/>
        <w:rPr>
          <w:sz w:val="24"/>
        </w:rPr>
      </w:pPr>
      <w:r>
        <w:drawing>
          <wp:inline distT="0" distB="0" distL="0" distR="0">
            <wp:extent cx="5274310" cy="5414645"/>
            <wp:effectExtent l="19050" t="19050" r="21590" b="14605"/>
            <wp:docPr id="1960898350" name="图片 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98350" name="图片 1" descr="图形用户界面, 文本, 应用程序, 电子邮件&#10;&#10;AI 生成的内容可能不正确。"/>
                    <pic:cNvPicPr>
                      <a:picLocks noChangeAspect="1"/>
                    </pic:cNvPicPr>
                  </pic:nvPicPr>
                  <pic:blipFill>
                    <a:blip r:embed="rId6"/>
                    <a:stretch>
                      <a:fillRect/>
                    </a:stretch>
                  </pic:blipFill>
                  <pic:spPr>
                    <a:xfrm>
                      <a:off x="0" y="0"/>
                      <a:ext cx="5274310" cy="5414645"/>
                    </a:xfrm>
                    <a:prstGeom prst="rect">
                      <a:avLst/>
                    </a:prstGeom>
                    <a:ln>
                      <a:solidFill>
                        <a:schemeClr val="tx1"/>
                      </a:solidFill>
                    </a:ln>
                  </pic:spPr>
                </pic:pic>
              </a:graphicData>
            </a:graphic>
          </wp:inline>
        </w:drawing>
      </w:r>
    </w:p>
    <w:p>
      <w:pPr>
        <w:snapToGrid w:val="0"/>
        <w:spacing w:line="360" w:lineRule="auto"/>
        <w:jc w:val="center"/>
        <w:rPr>
          <w:b/>
          <w:bCs/>
          <w:sz w:val="24"/>
        </w:rPr>
      </w:pPr>
      <w:r>
        <w:rPr>
          <w:rFonts w:hint="eastAsia"/>
          <w:b/>
          <w:bCs/>
          <w:sz w:val="24"/>
        </w:rPr>
        <w:t>图2.</w:t>
      </w:r>
      <w:r>
        <w:rPr>
          <w:b/>
          <w:bCs/>
          <w:sz w:val="24"/>
        </w:rPr>
        <w:t xml:space="preserve">1   </w:t>
      </w:r>
      <w:r>
        <w:rPr>
          <w:rFonts w:hint="eastAsia"/>
          <w:b/>
          <w:bCs/>
          <w:sz w:val="24"/>
        </w:rPr>
        <w:t>第一次公示（网络公示截图）</w:t>
      </w:r>
    </w:p>
    <w:p>
      <w:pPr>
        <w:pStyle w:val="2"/>
        <w:snapToGrid w:val="0"/>
        <w:rPr>
          <w:sz w:val="28"/>
          <w:szCs w:val="28"/>
        </w:rPr>
      </w:pPr>
      <w:bookmarkStart w:id="7" w:name="_Toc207274029"/>
      <w:r>
        <w:rPr>
          <w:rFonts w:hint="eastAsia"/>
          <w:sz w:val="28"/>
          <w:szCs w:val="28"/>
        </w:rPr>
        <w:t>征求意见稿形成后信息公开情况</w:t>
      </w:r>
      <w:bookmarkEnd w:id="7"/>
    </w:p>
    <w:p>
      <w:pPr>
        <w:pStyle w:val="3"/>
        <w:snapToGrid w:val="0"/>
        <w:rPr>
          <w:sz w:val="24"/>
          <w:szCs w:val="24"/>
        </w:rPr>
      </w:pPr>
      <w:bookmarkStart w:id="8" w:name="_Toc207274030"/>
      <w:r>
        <w:rPr>
          <w:rFonts w:hint="eastAsia"/>
          <w:sz w:val="24"/>
          <w:szCs w:val="24"/>
        </w:rPr>
        <w:t>公示内容及方式</w:t>
      </w:r>
      <w:bookmarkEnd w:id="8"/>
    </w:p>
    <w:p>
      <w:pPr>
        <w:pStyle w:val="23"/>
        <w:snapToGrid w:val="0"/>
        <w:rPr>
          <w:rFonts w:ascii="Times New Roman" w:hAnsi="Times New Roman"/>
        </w:rPr>
      </w:pPr>
      <w:r>
        <w:rPr>
          <w:rFonts w:hint="eastAsia" w:ascii="Times New Roman" w:hAnsi="Times New Roman"/>
        </w:rPr>
        <w:t>根据《环境影响评价公众参与办法》（生态环境部令</w:t>
      </w:r>
      <w:r>
        <w:rPr>
          <w:rFonts w:ascii="Times New Roman" w:hAnsi="Times New Roman"/>
        </w:rPr>
        <w:t>[2018]</w:t>
      </w:r>
      <w:r>
        <w:rPr>
          <w:rFonts w:hint="eastAsia" w:ascii="Times New Roman" w:hAnsi="Times New Roman"/>
        </w:rPr>
        <w:t>第4号）中第十条：建设项目环境影响报告书征求意见稿形成后，建设单位影响进行公开，征求与该项目环境影响有关的意见，征求公众意见的期限不得少于1</w:t>
      </w:r>
      <w:r>
        <w:rPr>
          <w:rFonts w:ascii="Times New Roman" w:hAnsi="Times New Roman"/>
        </w:rPr>
        <w:t>0</w:t>
      </w:r>
      <w:r>
        <w:rPr>
          <w:rFonts w:hint="eastAsia" w:ascii="Times New Roman" w:hAnsi="Times New Roman"/>
        </w:rPr>
        <w:t>个工作日。</w:t>
      </w:r>
    </w:p>
    <w:p>
      <w:pPr>
        <w:snapToGrid w:val="0"/>
        <w:spacing w:line="360" w:lineRule="auto"/>
        <w:ind w:firstLine="480" w:firstLineChars="200"/>
        <w:rPr>
          <w:sz w:val="24"/>
        </w:rPr>
      </w:pPr>
      <w:r>
        <w:rPr>
          <w:rFonts w:hint="eastAsia"/>
          <w:sz w:val="24"/>
          <w:lang w:val="zh-CN"/>
        </w:rPr>
        <w:t>项目环境影响报告征求意见稿编制完成后，我单位于2</w:t>
      </w:r>
      <w:r>
        <w:rPr>
          <w:sz w:val="24"/>
          <w:lang w:val="zh-CN"/>
        </w:rPr>
        <w:t>02</w:t>
      </w:r>
      <w:r>
        <w:rPr>
          <w:rFonts w:hint="eastAsia"/>
          <w:sz w:val="24"/>
        </w:rPr>
        <w:t>5</w:t>
      </w:r>
      <w:r>
        <w:rPr>
          <w:rFonts w:hint="eastAsia"/>
          <w:sz w:val="24"/>
          <w:lang w:val="zh-CN"/>
        </w:rPr>
        <w:t>年6月25日~7月8日采取了三种方式进行了第二次公示，公示时间不少于1</w:t>
      </w:r>
      <w:r>
        <w:rPr>
          <w:sz w:val="24"/>
          <w:lang w:val="zh-CN"/>
        </w:rPr>
        <w:t>0</w:t>
      </w:r>
      <w:r>
        <w:rPr>
          <w:rFonts w:hint="eastAsia"/>
          <w:sz w:val="24"/>
          <w:lang w:val="zh-CN"/>
        </w:rPr>
        <w:t>个工作日。公示方式分别为网络平台公开、建设项目所在地报纸公开、建设项目所在地现场张贴公开。公示内容主要包括项目基本情况、本项目主要环境影响、拟采取的主要环保措施、环评结论、建设单位名称及联系方式、环评单位名称、征求公众意见的主要事项、公众意见表的网络链接、公众提出意见的主要反馈方式及途径。本次公示时限、内容及形式均符合</w:t>
      </w:r>
      <w:r>
        <w:rPr>
          <w:rFonts w:hint="eastAsia"/>
          <w:sz w:val="24"/>
        </w:rPr>
        <w:t>《环境影响评价公众参与办法》（生态环境部令</w:t>
      </w:r>
      <w:r>
        <w:rPr>
          <w:sz w:val="24"/>
        </w:rPr>
        <w:t>[2018]</w:t>
      </w:r>
      <w:r>
        <w:rPr>
          <w:rFonts w:hint="eastAsia"/>
          <w:sz w:val="24"/>
        </w:rPr>
        <w:t>第4号）要求。</w:t>
      </w:r>
    </w:p>
    <w:p>
      <w:pPr>
        <w:snapToGrid w:val="0"/>
        <w:spacing w:line="360" w:lineRule="auto"/>
        <w:ind w:firstLine="480" w:firstLineChars="200"/>
        <w:rPr>
          <w:sz w:val="24"/>
        </w:rPr>
      </w:pPr>
    </w:p>
    <w:p>
      <w:pPr>
        <w:pStyle w:val="3"/>
        <w:snapToGrid w:val="0"/>
        <w:rPr>
          <w:sz w:val="24"/>
          <w:szCs w:val="24"/>
        </w:rPr>
      </w:pPr>
      <w:bookmarkStart w:id="9" w:name="_Toc207274031"/>
      <w:r>
        <w:rPr>
          <w:rFonts w:hint="eastAsia"/>
          <w:sz w:val="24"/>
          <w:szCs w:val="24"/>
        </w:rPr>
        <w:t>公示方式</w:t>
      </w:r>
      <w:bookmarkEnd w:id="9"/>
    </w:p>
    <w:p>
      <w:pPr>
        <w:pStyle w:val="25"/>
      </w:pPr>
      <w:r>
        <w:rPr>
          <w:rFonts w:hint="eastAsia"/>
        </w:rPr>
        <w:t>网络公开</w:t>
      </w:r>
    </w:p>
    <w:p>
      <w:pPr>
        <w:snapToGrid w:val="0"/>
        <w:spacing w:line="360" w:lineRule="auto"/>
        <w:ind w:firstLine="480" w:firstLineChars="200"/>
        <w:rPr>
          <w:sz w:val="24"/>
          <w:lang w:val="zh-CN"/>
        </w:rPr>
      </w:pPr>
      <w:r>
        <w:rPr>
          <w:rFonts w:hint="eastAsia"/>
          <w:sz w:val="24"/>
        </w:rPr>
        <w:t>根据《环境影响评价公众参与办法》（生态环境部令</w:t>
      </w:r>
      <w:r>
        <w:rPr>
          <w:sz w:val="24"/>
        </w:rPr>
        <w:t>[2018]</w:t>
      </w:r>
      <w:r>
        <w:rPr>
          <w:rFonts w:hint="eastAsia"/>
          <w:sz w:val="24"/>
        </w:rPr>
        <w:t>第4号）要求，我单位于2</w:t>
      </w:r>
      <w:r>
        <w:rPr>
          <w:sz w:val="24"/>
        </w:rPr>
        <w:t>02</w:t>
      </w:r>
      <w:r>
        <w:rPr>
          <w:rFonts w:hint="eastAsia"/>
          <w:sz w:val="24"/>
        </w:rPr>
        <w:t>5年6月25日~7月8日在网络平台进行了第二次公示，公示时限不少于1</w:t>
      </w:r>
      <w:r>
        <w:rPr>
          <w:sz w:val="24"/>
        </w:rPr>
        <w:t>0</w:t>
      </w:r>
      <w:r>
        <w:rPr>
          <w:rFonts w:hint="eastAsia"/>
          <w:sz w:val="24"/>
        </w:rPr>
        <w:t>个工作日。公示内容见表3</w:t>
      </w:r>
      <w:r>
        <w:rPr>
          <w:sz w:val="24"/>
        </w:rPr>
        <w:t>-1</w:t>
      </w:r>
      <w:r>
        <w:rPr>
          <w:rFonts w:hint="eastAsia"/>
          <w:sz w:val="24"/>
        </w:rPr>
        <w:t>，公示情况见图3</w:t>
      </w:r>
      <w:r>
        <w:rPr>
          <w:sz w:val="24"/>
        </w:rPr>
        <w:t>.1</w:t>
      </w:r>
      <w:r>
        <w:rPr>
          <w:rFonts w:hint="eastAsia"/>
          <w:sz w:val="24"/>
        </w:rPr>
        <w:t>。</w:t>
      </w:r>
    </w:p>
    <w:p>
      <w:pPr>
        <w:snapToGrid w:val="0"/>
        <w:spacing w:line="360" w:lineRule="auto"/>
        <w:jc w:val="center"/>
        <w:rPr>
          <w:b/>
          <w:bCs/>
          <w:sz w:val="24"/>
        </w:rPr>
      </w:pPr>
      <w:r>
        <w:rPr>
          <w:b/>
          <w:bCs/>
          <w:sz w:val="24"/>
        </w:rPr>
        <w:t>表3-1   第二次公示内容（网络）</w:t>
      </w:r>
    </w:p>
    <w:tbl>
      <w:tblPr>
        <w:tblStyle w:val="1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8296" w:type="dxa"/>
            <w:vAlign w:val="center"/>
          </w:tcPr>
          <w:p>
            <w:pPr>
              <w:adjustRightInd w:val="0"/>
              <w:snapToGrid w:val="0"/>
              <w:spacing w:line="348" w:lineRule="auto"/>
              <w:jc w:val="center"/>
              <w:rPr>
                <w:b/>
                <w:sz w:val="24"/>
              </w:rPr>
            </w:pPr>
            <w:bookmarkStart w:id="10" w:name="_Hlk207275126"/>
            <w:r>
              <w:rPr>
                <w:rFonts w:hint="eastAsia"/>
                <w:b/>
                <w:sz w:val="24"/>
              </w:rPr>
              <w:t>贵州金兰盛锦新材料有限公司美锦煤焦氢综合利用硝基水溶肥生产制造项目</w:t>
            </w:r>
            <w:bookmarkEnd w:id="10"/>
            <w:r>
              <w:rPr>
                <w:rFonts w:hint="eastAsia"/>
                <w:b/>
                <w:sz w:val="24"/>
              </w:rPr>
              <w:t>环境影响评价第二次公示</w:t>
            </w:r>
          </w:p>
          <w:p>
            <w:pPr>
              <w:adjustRightInd w:val="0"/>
              <w:snapToGrid w:val="0"/>
              <w:spacing w:line="360" w:lineRule="auto"/>
              <w:ind w:firstLine="482" w:firstLineChars="200"/>
              <w:jc w:val="center"/>
              <w:rPr>
                <w:b/>
                <w:sz w:val="24"/>
              </w:rPr>
            </w:pPr>
          </w:p>
          <w:p>
            <w:pPr>
              <w:adjustRightInd w:val="0"/>
              <w:snapToGrid w:val="0"/>
              <w:spacing w:line="360" w:lineRule="auto"/>
              <w:ind w:firstLine="420" w:firstLineChars="200"/>
              <w:rPr>
                <w:szCs w:val="21"/>
              </w:rPr>
            </w:pPr>
            <w:r>
              <w:rPr>
                <w:rFonts w:hint="eastAsia"/>
                <w:szCs w:val="21"/>
              </w:rPr>
              <w:t>根据《环境影响评价公众参与办法》（生态环境部部令第4号）中的相关规定，本项目于2024年11月22日在六枝特区人民政府网站进行了环境影响评价第一次公示，现针对该项目拟采取的主要环保措施及环评结论进行第二次公示，公示内容如下：</w:t>
            </w:r>
          </w:p>
          <w:p>
            <w:pPr>
              <w:adjustRightInd w:val="0"/>
              <w:snapToGrid w:val="0"/>
              <w:spacing w:line="360" w:lineRule="auto"/>
              <w:ind w:firstLine="420" w:firstLineChars="200"/>
              <w:rPr>
                <w:szCs w:val="21"/>
              </w:rPr>
            </w:pPr>
            <w:r>
              <w:rPr>
                <w:rFonts w:hint="eastAsia"/>
                <w:szCs w:val="21"/>
              </w:rPr>
              <w:t>一、项目概况</w:t>
            </w:r>
          </w:p>
          <w:p>
            <w:pPr>
              <w:adjustRightInd w:val="0"/>
              <w:snapToGrid w:val="0"/>
              <w:spacing w:line="360" w:lineRule="auto"/>
              <w:ind w:firstLine="420" w:firstLineChars="200"/>
              <w:rPr>
                <w:szCs w:val="21"/>
              </w:rPr>
            </w:pPr>
            <w:r>
              <w:rPr>
                <w:rFonts w:hint="eastAsia"/>
                <w:szCs w:val="21"/>
              </w:rPr>
              <w:t>（1）项目名称：贵州金兰盛锦新材料有限公司美锦煤焦氢综合利用硝基水溶肥生产制造项目</w:t>
            </w:r>
          </w:p>
          <w:p>
            <w:pPr>
              <w:adjustRightInd w:val="0"/>
              <w:snapToGrid w:val="0"/>
              <w:spacing w:line="360" w:lineRule="auto"/>
              <w:ind w:firstLine="420" w:firstLineChars="200"/>
              <w:rPr>
                <w:szCs w:val="21"/>
              </w:rPr>
            </w:pPr>
            <w:r>
              <w:rPr>
                <w:rFonts w:hint="eastAsia"/>
                <w:szCs w:val="21"/>
              </w:rPr>
              <w:t>（2）建设地点：贵州六盘水市六枝特区化工园区</w:t>
            </w:r>
          </w:p>
          <w:p>
            <w:pPr>
              <w:adjustRightInd w:val="0"/>
              <w:snapToGrid w:val="0"/>
              <w:spacing w:line="360" w:lineRule="auto"/>
              <w:ind w:firstLine="420" w:firstLineChars="200"/>
              <w:rPr>
                <w:szCs w:val="21"/>
              </w:rPr>
            </w:pPr>
            <w:r>
              <w:rPr>
                <w:rFonts w:hint="eastAsia"/>
                <w:szCs w:val="21"/>
              </w:rPr>
              <w:t>（3）建设内容：一期：年产27万吨硝酸装置一套、年产15万吨硝酸装置一套、年产30万吨农业用硝酸铵钙生产线、年产10万吨四水硝酸钙生产线、年产27万吨中量元素水溶肥料生产线（钙镁肥）、年产5万吨土壤调理剂（钙泥）生产线、年产5万吨氨水生产线及配套公辅设施；二期：年产15万吨硝酸装置一套、年产15万吨大量元素水溶肥料生产线（包含硝酸钾10万吨／年）、年产15万吨复合肥料生产线（包含氯化铵5.3万吨／年）、年产30万吨硝酸磷肥生产线、年产13万吨商品磷精矿生产线及配套公辅设施。</w:t>
            </w:r>
          </w:p>
          <w:p>
            <w:pPr>
              <w:adjustRightInd w:val="0"/>
              <w:snapToGrid w:val="0"/>
              <w:spacing w:line="360" w:lineRule="auto"/>
              <w:ind w:firstLine="420" w:firstLineChars="200"/>
              <w:rPr>
                <w:szCs w:val="21"/>
              </w:rPr>
            </w:pPr>
            <w:r>
              <w:rPr>
                <w:rFonts w:hint="eastAsia"/>
                <w:szCs w:val="21"/>
              </w:rPr>
              <w:t>二、本项目主要环境影响</w:t>
            </w:r>
          </w:p>
          <w:p>
            <w:pPr>
              <w:adjustRightInd w:val="0"/>
              <w:snapToGrid w:val="0"/>
              <w:spacing w:line="360" w:lineRule="auto"/>
              <w:ind w:firstLine="420" w:firstLineChars="200"/>
              <w:rPr>
                <w:szCs w:val="21"/>
              </w:rPr>
            </w:pPr>
            <w:r>
              <w:rPr>
                <w:rFonts w:hint="eastAsia"/>
                <w:szCs w:val="21"/>
              </w:rPr>
              <w:t>本项目施工期和运营期会对周围环境产生一定影响。</w:t>
            </w:r>
          </w:p>
          <w:p>
            <w:pPr>
              <w:adjustRightInd w:val="0"/>
              <w:snapToGrid w:val="0"/>
              <w:spacing w:line="360" w:lineRule="auto"/>
              <w:ind w:firstLine="420" w:firstLineChars="200"/>
              <w:rPr>
                <w:szCs w:val="21"/>
              </w:rPr>
            </w:pPr>
            <w:r>
              <w:rPr>
                <w:rFonts w:hint="eastAsia"/>
                <w:szCs w:val="21"/>
              </w:rPr>
              <w:t>施工期：主要包括施工设备废气、扬尘等环境空气影响，施工人员生活污水、施工现场清洗和混凝土养护等生产废水的影响，施工机械设备和运输设备的噪声影响，基础开挖、工程建筑及生活垃圾等固体废物的影响，以及工程占地等对生态环境造成的影响。</w:t>
            </w:r>
          </w:p>
          <w:p>
            <w:pPr>
              <w:adjustRightInd w:val="0"/>
              <w:snapToGrid w:val="0"/>
              <w:spacing w:line="360" w:lineRule="auto"/>
              <w:ind w:firstLine="420" w:firstLineChars="200"/>
              <w:rPr>
                <w:szCs w:val="21"/>
              </w:rPr>
            </w:pPr>
            <w:r>
              <w:rPr>
                <w:rFonts w:hint="eastAsia"/>
                <w:szCs w:val="21"/>
              </w:rPr>
              <w:t>运营期：主要为硝酸配置过程中产生的废气、各生产线生产过程中产生的配料废气、造粒废气、烘干废气及各产尘点粉尘等废气产生的颗粒物、NO</w:t>
            </w:r>
            <w:r>
              <w:rPr>
                <w:rFonts w:hint="eastAsia"/>
                <w:szCs w:val="21"/>
                <w:vertAlign w:val="subscript"/>
              </w:rPr>
              <w:t>X</w:t>
            </w:r>
            <w:r>
              <w:rPr>
                <w:rFonts w:hint="eastAsia"/>
                <w:szCs w:val="21"/>
              </w:rPr>
              <w:t>、氟化物等污染物对环境空气的影响；车间工艺废水、初期雨水、循环冷却水和生活污水等对水环境的影响；各类机泵、风机、机组等运转设备噪声及交通噪声的影响；滤渣、废催化剂、废矿物油及各类收尘等工业固废以及生活垃圾等固废处置产生的影响。</w:t>
            </w:r>
          </w:p>
          <w:p>
            <w:pPr>
              <w:adjustRightInd w:val="0"/>
              <w:snapToGrid w:val="0"/>
              <w:spacing w:line="360" w:lineRule="auto"/>
              <w:ind w:firstLine="420" w:firstLineChars="200"/>
              <w:rPr>
                <w:szCs w:val="21"/>
              </w:rPr>
            </w:pPr>
            <w:r>
              <w:rPr>
                <w:rFonts w:hint="eastAsia"/>
                <w:szCs w:val="21"/>
              </w:rPr>
              <w:t>三、拟采取的主要环保措施</w:t>
            </w:r>
          </w:p>
          <w:p>
            <w:pPr>
              <w:adjustRightInd w:val="0"/>
              <w:snapToGrid w:val="0"/>
              <w:spacing w:line="360" w:lineRule="auto"/>
              <w:ind w:firstLine="420" w:firstLineChars="200"/>
              <w:rPr>
                <w:szCs w:val="21"/>
              </w:rPr>
            </w:pPr>
            <w:r>
              <w:rPr>
                <w:rFonts w:hint="eastAsia"/>
                <w:szCs w:val="21"/>
              </w:rPr>
              <w:t>施工期：通过文明施工、洒水抑尘、遮盖封闭等措施，减轻施工废气对周围环境空气的影响；修建临时沉淀池，施工废水经处理后回用于施工场地，施工人员产生的生活污水经旱厕收集后用于周围旱地的农灌；合理安排施工时间、选用低噪声设备等措施降低施工噪声对环境的影响；施工固废分类堆放并苫盖，尽量做到土石方平衡，能利用的尽量回收利用，生活垃圾等不能回收的定期按规外运；施工结束后做好厂区绿化。</w:t>
            </w:r>
          </w:p>
          <w:p>
            <w:pPr>
              <w:adjustRightInd w:val="0"/>
              <w:snapToGrid w:val="0"/>
              <w:spacing w:line="360" w:lineRule="auto"/>
              <w:ind w:firstLine="420" w:firstLineChars="200"/>
              <w:rPr>
                <w:szCs w:val="21"/>
              </w:rPr>
            </w:pPr>
            <w:r>
              <w:rPr>
                <w:rFonts w:hint="eastAsia"/>
                <w:szCs w:val="21"/>
              </w:rPr>
              <w:t>运营期：①废气：硝酸配置过程中产生的废气经氨催化还原法处理达标后排放，各生产线配料废气经尾气吸收塔处理达标后排放，造粒废气、烘干废气经湿式洗涤器处理达标后排放，各类粉尘经布袋除尘处理达标后排放。②按照雨污分流原则，生产废水回用于生产，循环水及脱盐水站浓水、生活污水排入六枝特区化工园区污水处理厂处理，对周围环境影响不大。③对于噪声，采取选用符合国家噪声标准规定的设备，对主要噪声源设置减振基础，加消声器等措施降低噪声的影响。④设危废暂存间1座，对废催化剂、废矿物油等危险废物进行暂存后妥善处置不外排；对滤渣及各类收尘等一般工业固废，综合利用不外排；生活垃圾集中收集后纳入当地环卫系统。</w:t>
            </w:r>
          </w:p>
          <w:p>
            <w:pPr>
              <w:adjustRightInd w:val="0"/>
              <w:snapToGrid w:val="0"/>
              <w:spacing w:line="360" w:lineRule="auto"/>
              <w:ind w:firstLine="420" w:firstLineChars="200"/>
              <w:rPr>
                <w:szCs w:val="21"/>
              </w:rPr>
            </w:pPr>
            <w:r>
              <w:rPr>
                <w:rFonts w:hint="eastAsia"/>
                <w:szCs w:val="21"/>
              </w:rPr>
              <w:t>四、环评结论</w:t>
            </w:r>
          </w:p>
          <w:p>
            <w:pPr>
              <w:adjustRightInd w:val="0"/>
              <w:snapToGrid w:val="0"/>
              <w:spacing w:line="360" w:lineRule="auto"/>
              <w:ind w:firstLine="420" w:firstLineChars="200"/>
              <w:rPr>
                <w:szCs w:val="21"/>
              </w:rPr>
            </w:pPr>
            <w:r>
              <w:rPr>
                <w:rFonts w:hint="eastAsia"/>
                <w:szCs w:val="21"/>
              </w:rPr>
              <w:t>本项目符合国家产业政策，采用切实有效的污染防治措施，能够实现污染物达标排放，对外环境产生的影响满足相关环境质量标准要求；针对项目风险因素，采用严格的风险防范措施，并制定了详细的应急预案，确保环境风险可以接受。在严格落实本评价提出的各种环境保护措施的前提下，从环境保护的角度分析，拟建项目建设可行。</w:t>
            </w:r>
          </w:p>
          <w:p>
            <w:pPr>
              <w:adjustRightInd w:val="0"/>
              <w:snapToGrid w:val="0"/>
              <w:spacing w:line="360" w:lineRule="auto"/>
              <w:ind w:firstLine="420" w:firstLineChars="200"/>
              <w:rPr>
                <w:szCs w:val="21"/>
              </w:rPr>
            </w:pPr>
            <w:r>
              <w:rPr>
                <w:rFonts w:hint="eastAsia"/>
                <w:szCs w:val="21"/>
              </w:rPr>
              <w:t>五、征求意见的公众范围及主要事项</w:t>
            </w:r>
          </w:p>
          <w:p>
            <w:pPr>
              <w:adjustRightInd w:val="0"/>
              <w:snapToGrid w:val="0"/>
              <w:spacing w:line="360" w:lineRule="auto"/>
              <w:ind w:firstLine="420" w:firstLineChars="200"/>
              <w:rPr>
                <w:szCs w:val="21"/>
              </w:rPr>
            </w:pPr>
            <w:r>
              <w:rPr>
                <w:rFonts w:hint="eastAsia"/>
                <w:szCs w:val="21"/>
              </w:rPr>
              <w:t>征求意见的公众主要是项目周边范围的企事业单位及居民。</w:t>
            </w:r>
          </w:p>
          <w:p>
            <w:pPr>
              <w:adjustRightInd w:val="0"/>
              <w:snapToGrid w:val="0"/>
              <w:spacing w:line="360" w:lineRule="auto"/>
              <w:ind w:firstLine="420" w:firstLineChars="200"/>
              <w:rPr>
                <w:szCs w:val="21"/>
              </w:rPr>
            </w:pPr>
            <w:r>
              <w:rPr>
                <w:rFonts w:hint="eastAsia"/>
                <w:szCs w:val="21"/>
              </w:rPr>
              <w:t>征求意见的主要事项包括：①从环境保护角度，是否支持本项目的建设；②公众就本项目建设对周围环境的意见；③公众对本项目环境保护工作的建议。</w:t>
            </w:r>
          </w:p>
          <w:p>
            <w:pPr>
              <w:adjustRightInd w:val="0"/>
              <w:snapToGrid w:val="0"/>
              <w:spacing w:line="360" w:lineRule="auto"/>
              <w:ind w:firstLine="420" w:firstLineChars="200"/>
              <w:rPr>
                <w:szCs w:val="21"/>
              </w:rPr>
            </w:pPr>
            <w:r>
              <w:rPr>
                <w:rFonts w:hint="eastAsia"/>
                <w:szCs w:val="21"/>
              </w:rPr>
              <w:t>六、公众提出意见的方式和途径</w:t>
            </w:r>
          </w:p>
          <w:p>
            <w:pPr>
              <w:adjustRightInd w:val="0"/>
              <w:snapToGrid w:val="0"/>
              <w:spacing w:line="360" w:lineRule="auto"/>
              <w:ind w:firstLine="420" w:firstLineChars="200"/>
              <w:rPr>
                <w:szCs w:val="21"/>
              </w:rPr>
            </w:pPr>
            <w:r>
              <w:rPr>
                <w:rFonts w:hint="eastAsia"/>
                <w:szCs w:val="21"/>
              </w:rPr>
              <w:t>公众可通过信函、电子邮件或拨打电话等方式，向建设单位提交与建设项目环境影响有关的意见和建议。</w:t>
            </w:r>
          </w:p>
          <w:p>
            <w:pPr>
              <w:adjustRightInd w:val="0"/>
              <w:snapToGrid w:val="0"/>
              <w:spacing w:line="360" w:lineRule="auto"/>
              <w:ind w:firstLine="420" w:firstLineChars="200"/>
              <w:rPr>
                <w:szCs w:val="21"/>
              </w:rPr>
            </w:pPr>
            <w:r>
              <w:rPr>
                <w:rFonts w:hint="eastAsia"/>
                <w:szCs w:val="21"/>
              </w:rPr>
              <w:t>七、建设单位及联系方式</w:t>
            </w:r>
          </w:p>
          <w:p>
            <w:pPr>
              <w:adjustRightInd w:val="0"/>
              <w:snapToGrid w:val="0"/>
              <w:spacing w:line="360" w:lineRule="auto"/>
              <w:ind w:firstLine="420" w:firstLineChars="200"/>
              <w:rPr>
                <w:szCs w:val="21"/>
              </w:rPr>
            </w:pPr>
            <w:r>
              <w:rPr>
                <w:rFonts w:hint="eastAsia"/>
                <w:szCs w:val="21"/>
              </w:rPr>
              <w:t>建设单位：贵州金兰盛锦新材料有限公司</w:t>
            </w:r>
          </w:p>
          <w:p>
            <w:pPr>
              <w:adjustRightInd w:val="0"/>
              <w:snapToGrid w:val="0"/>
              <w:spacing w:line="360" w:lineRule="auto"/>
              <w:ind w:firstLine="420" w:firstLineChars="200"/>
              <w:rPr>
                <w:szCs w:val="21"/>
              </w:rPr>
            </w:pPr>
            <w:r>
              <w:rPr>
                <w:rFonts w:hint="eastAsia"/>
                <w:szCs w:val="21"/>
              </w:rPr>
              <w:t>联系人：王毓国</w:t>
            </w:r>
          </w:p>
          <w:p>
            <w:pPr>
              <w:adjustRightInd w:val="0"/>
              <w:snapToGrid w:val="0"/>
              <w:spacing w:line="360" w:lineRule="auto"/>
              <w:ind w:firstLine="420" w:firstLineChars="200"/>
              <w:rPr>
                <w:szCs w:val="21"/>
              </w:rPr>
            </w:pPr>
            <w:r>
              <w:rPr>
                <w:rFonts w:hint="eastAsia"/>
                <w:szCs w:val="21"/>
              </w:rPr>
              <w:t>联系电话：18203485277</w:t>
            </w:r>
          </w:p>
          <w:p>
            <w:pPr>
              <w:adjustRightInd w:val="0"/>
              <w:snapToGrid w:val="0"/>
              <w:spacing w:line="360" w:lineRule="auto"/>
              <w:ind w:firstLine="420" w:firstLineChars="200"/>
              <w:rPr>
                <w:szCs w:val="21"/>
              </w:rPr>
            </w:pPr>
            <w:r>
              <w:rPr>
                <w:rFonts w:hint="eastAsia"/>
                <w:szCs w:val="21"/>
              </w:rPr>
              <w:t>邮 箱：wangyuguo＠knlanchem.cn</w:t>
            </w:r>
          </w:p>
          <w:p>
            <w:pPr>
              <w:adjustRightInd w:val="0"/>
              <w:snapToGrid w:val="0"/>
              <w:spacing w:line="360" w:lineRule="auto"/>
              <w:ind w:firstLine="420" w:firstLineChars="200"/>
              <w:rPr>
                <w:szCs w:val="21"/>
              </w:rPr>
            </w:pPr>
            <w:r>
              <w:rPr>
                <w:rFonts w:hint="eastAsia"/>
                <w:szCs w:val="21"/>
              </w:rPr>
              <w:t>八、环境影响评价单位：贵州省化工研究院</w:t>
            </w:r>
          </w:p>
          <w:p>
            <w:pPr>
              <w:adjustRightInd w:val="0"/>
              <w:snapToGrid w:val="0"/>
              <w:spacing w:line="360" w:lineRule="auto"/>
              <w:ind w:firstLine="420" w:firstLineChars="200"/>
              <w:rPr>
                <w:szCs w:val="21"/>
              </w:rPr>
            </w:pPr>
            <w:r>
              <w:rPr>
                <w:rFonts w:hint="eastAsia"/>
                <w:szCs w:val="21"/>
              </w:rPr>
              <w:t>九、公众意见表：公众可下载《建设项目环境影响评价公众意见表》，并按照规定格式要求填写。</w:t>
            </w:r>
          </w:p>
          <w:p>
            <w:pPr>
              <w:adjustRightInd w:val="0"/>
              <w:snapToGrid w:val="0"/>
              <w:spacing w:line="360" w:lineRule="auto"/>
              <w:ind w:firstLine="420" w:firstLineChars="200"/>
              <w:rPr>
                <w:szCs w:val="21"/>
              </w:rPr>
            </w:pPr>
            <w:r>
              <w:rPr>
                <w:rFonts w:hint="eastAsia"/>
                <w:szCs w:val="21"/>
              </w:rPr>
              <w:t>注：公众在提交意见时，应当提供有效的联系方式。国家鼓励采用实名方式提交意见并提供常住地址。</w:t>
            </w:r>
          </w:p>
          <w:p>
            <w:pPr>
              <w:adjustRightInd w:val="0"/>
              <w:snapToGrid w:val="0"/>
              <w:spacing w:line="360" w:lineRule="auto"/>
              <w:ind w:firstLine="420" w:firstLineChars="200"/>
              <w:rPr>
                <w:szCs w:val="21"/>
              </w:rPr>
            </w:pPr>
            <w:r>
              <w:rPr>
                <w:rFonts w:hint="eastAsia"/>
                <w:szCs w:val="21"/>
              </w:rPr>
              <w:t>十、公示和征求公众意见时间：2025年6月25~7月8日，共10个工作日。</w:t>
            </w:r>
          </w:p>
          <w:p>
            <w:pPr>
              <w:adjustRightInd w:val="0"/>
              <w:snapToGrid w:val="0"/>
              <w:spacing w:line="360" w:lineRule="auto"/>
              <w:ind w:firstLine="420" w:firstLineChars="200"/>
              <w:rPr>
                <w:szCs w:val="21"/>
              </w:rPr>
            </w:pPr>
          </w:p>
          <w:p>
            <w:pPr>
              <w:adjustRightInd w:val="0"/>
              <w:snapToGrid w:val="0"/>
              <w:spacing w:line="348" w:lineRule="auto"/>
              <w:ind w:firstLine="420" w:firstLineChars="200"/>
              <w:jc w:val="right"/>
              <w:rPr>
                <w:szCs w:val="21"/>
              </w:rPr>
            </w:pPr>
            <w:r>
              <w:rPr>
                <w:rFonts w:hint="eastAsia"/>
                <w:szCs w:val="21"/>
              </w:rPr>
              <w:t>贵州金兰盛锦新材料有限公司</w:t>
            </w:r>
          </w:p>
          <w:p>
            <w:pPr>
              <w:adjustRightInd w:val="0"/>
              <w:snapToGrid w:val="0"/>
              <w:spacing w:line="360" w:lineRule="auto"/>
              <w:ind w:right="420" w:firstLine="420" w:firstLineChars="200"/>
              <w:jc w:val="right"/>
              <w:rPr>
                <w:kern w:val="0"/>
                <w:sz w:val="20"/>
                <w:szCs w:val="21"/>
              </w:rPr>
            </w:pPr>
            <w:r>
              <w:rPr>
                <w:rFonts w:hint="eastAsia"/>
                <w:szCs w:val="21"/>
              </w:rPr>
              <w:t>2</w:t>
            </w:r>
            <w:r>
              <w:rPr>
                <w:szCs w:val="21"/>
              </w:rPr>
              <w:t>02</w:t>
            </w:r>
            <w:r>
              <w:rPr>
                <w:rFonts w:hint="eastAsia"/>
                <w:szCs w:val="21"/>
              </w:rPr>
              <w:t>5年6月25日</w:t>
            </w:r>
          </w:p>
        </w:tc>
      </w:tr>
    </w:tbl>
    <w:p>
      <w:pPr>
        <w:snapToGrid w:val="0"/>
        <w:spacing w:line="360" w:lineRule="auto"/>
        <w:jc w:val="left"/>
        <w:rPr>
          <w:b/>
          <w:bCs/>
          <w:sz w:val="32"/>
          <w:szCs w:val="32"/>
        </w:rPr>
      </w:pPr>
    </w:p>
    <w:p>
      <w:pPr>
        <w:snapToGrid w:val="0"/>
        <w:spacing w:line="360" w:lineRule="auto"/>
        <w:jc w:val="center"/>
        <w:rPr>
          <w:b/>
          <w:bCs/>
          <w:sz w:val="32"/>
          <w:szCs w:val="32"/>
        </w:rPr>
      </w:pPr>
      <w:r>
        <w:drawing>
          <wp:inline distT="0" distB="0" distL="0" distR="0">
            <wp:extent cx="5274310" cy="6610350"/>
            <wp:effectExtent l="19050" t="19050" r="21590" b="19050"/>
            <wp:docPr id="1567614781"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14781" name="图片 1" descr="文本&#10;&#10;AI 生成的内容可能不正确。"/>
                    <pic:cNvPicPr>
                      <a:picLocks noChangeAspect="1"/>
                    </pic:cNvPicPr>
                  </pic:nvPicPr>
                  <pic:blipFill>
                    <a:blip r:embed="rId7"/>
                    <a:stretch>
                      <a:fillRect/>
                    </a:stretch>
                  </pic:blipFill>
                  <pic:spPr>
                    <a:xfrm>
                      <a:off x="0" y="0"/>
                      <a:ext cx="5274310" cy="6610350"/>
                    </a:xfrm>
                    <a:prstGeom prst="rect">
                      <a:avLst/>
                    </a:prstGeom>
                    <a:ln>
                      <a:solidFill>
                        <a:schemeClr val="tx1"/>
                      </a:solidFill>
                    </a:ln>
                  </pic:spPr>
                </pic:pic>
              </a:graphicData>
            </a:graphic>
          </wp:inline>
        </w:drawing>
      </w:r>
    </w:p>
    <w:p>
      <w:pPr>
        <w:snapToGrid w:val="0"/>
        <w:spacing w:line="360" w:lineRule="auto"/>
        <w:jc w:val="center"/>
        <w:rPr>
          <w:b/>
          <w:bCs/>
          <w:sz w:val="24"/>
        </w:rPr>
      </w:pPr>
      <w:r>
        <w:rPr>
          <w:rFonts w:hint="eastAsia"/>
          <w:b/>
          <w:bCs/>
          <w:sz w:val="24"/>
        </w:rPr>
        <w:t>图</w:t>
      </w:r>
      <w:r>
        <w:rPr>
          <w:b/>
          <w:bCs/>
          <w:sz w:val="24"/>
        </w:rPr>
        <w:t xml:space="preserve">3.1   </w:t>
      </w:r>
      <w:r>
        <w:rPr>
          <w:rFonts w:hint="eastAsia"/>
          <w:b/>
          <w:bCs/>
          <w:sz w:val="24"/>
        </w:rPr>
        <w:t>第二次公示（网络公示截图）</w:t>
      </w:r>
    </w:p>
    <w:p>
      <w:pPr>
        <w:pStyle w:val="25"/>
      </w:pPr>
      <w:r>
        <w:rPr>
          <w:rFonts w:hint="eastAsia"/>
        </w:rPr>
        <w:t>报纸公开</w:t>
      </w:r>
    </w:p>
    <w:p>
      <w:pPr>
        <w:snapToGrid w:val="0"/>
        <w:spacing w:line="360" w:lineRule="auto"/>
        <w:ind w:firstLine="480" w:firstLineChars="200"/>
        <w:rPr>
          <w:sz w:val="24"/>
          <w:lang w:val="zh-CN"/>
        </w:rPr>
      </w:pPr>
      <w:r>
        <w:rPr>
          <w:rFonts w:hint="eastAsia"/>
          <w:sz w:val="24"/>
        </w:rPr>
        <w:t>根据《环境影响评价公众参与办法》（生态环境部令</w:t>
      </w:r>
      <w:r>
        <w:rPr>
          <w:sz w:val="24"/>
        </w:rPr>
        <w:t>[2018]</w:t>
      </w:r>
      <w:r>
        <w:rPr>
          <w:rFonts w:hint="eastAsia"/>
          <w:sz w:val="24"/>
        </w:rPr>
        <w:t>第4号）要求，第二次公示可通过建设项目所在地公众易于接触的报纸公开，且在征求意见的1</w:t>
      </w:r>
      <w:r>
        <w:rPr>
          <w:sz w:val="24"/>
        </w:rPr>
        <w:t>0</w:t>
      </w:r>
      <w:r>
        <w:rPr>
          <w:rFonts w:hint="eastAsia"/>
          <w:sz w:val="24"/>
        </w:rPr>
        <w:t>个工作日内公开信息不得少于2次。我单位于2</w:t>
      </w:r>
      <w:r>
        <w:rPr>
          <w:sz w:val="24"/>
        </w:rPr>
        <w:t>02</w:t>
      </w:r>
      <w:r>
        <w:rPr>
          <w:rFonts w:hint="eastAsia"/>
          <w:sz w:val="24"/>
        </w:rPr>
        <w:t>5年6月25日~7月8日，在六盘水日报上进行了第二次报纸公示，公示期间公开信息总共刊登2期（6月26日和6月30日）。公示内容见表3</w:t>
      </w:r>
      <w:r>
        <w:rPr>
          <w:sz w:val="24"/>
        </w:rPr>
        <w:t>-2</w:t>
      </w:r>
      <w:r>
        <w:rPr>
          <w:rFonts w:hint="eastAsia"/>
          <w:sz w:val="24"/>
        </w:rPr>
        <w:t>，公示情况见图3</w:t>
      </w:r>
      <w:r>
        <w:rPr>
          <w:sz w:val="24"/>
        </w:rPr>
        <w:t>.2</w:t>
      </w:r>
      <w:r>
        <w:rPr>
          <w:rFonts w:hint="eastAsia"/>
          <w:sz w:val="24"/>
        </w:rPr>
        <w:t>、图3</w:t>
      </w:r>
      <w:r>
        <w:rPr>
          <w:sz w:val="24"/>
        </w:rPr>
        <w:t>.3</w:t>
      </w:r>
      <w:r>
        <w:rPr>
          <w:rFonts w:hint="eastAsia"/>
          <w:sz w:val="24"/>
        </w:rPr>
        <w:t>。</w:t>
      </w:r>
    </w:p>
    <w:p>
      <w:pPr>
        <w:snapToGrid w:val="0"/>
        <w:spacing w:line="360" w:lineRule="auto"/>
        <w:jc w:val="center"/>
        <w:rPr>
          <w:b/>
          <w:bCs/>
          <w:sz w:val="24"/>
        </w:rPr>
      </w:pPr>
      <w:r>
        <w:rPr>
          <w:rFonts w:hint="eastAsia"/>
          <w:b/>
          <w:bCs/>
          <w:sz w:val="24"/>
        </w:rPr>
        <w:t>表</w:t>
      </w:r>
      <w:r>
        <w:rPr>
          <w:b/>
          <w:bCs/>
          <w:sz w:val="24"/>
        </w:rPr>
        <w:t xml:space="preserve">3-2   </w:t>
      </w:r>
      <w:r>
        <w:rPr>
          <w:rFonts w:hint="eastAsia"/>
          <w:b/>
          <w:bCs/>
          <w:sz w:val="24"/>
        </w:rPr>
        <w:t>第二次公示内容（报纸）</w:t>
      </w:r>
    </w:p>
    <w:tbl>
      <w:tblPr>
        <w:tblStyle w:val="1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8296" w:type="dxa"/>
            <w:vAlign w:val="center"/>
          </w:tcPr>
          <w:p>
            <w:pPr>
              <w:adjustRightInd w:val="0"/>
              <w:snapToGrid w:val="0"/>
              <w:spacing w:line="360" w:lineRule="auto"/>
              <w:jc w:val="center"/>
              <w:rPr>
                <w:b/>
                <w:sz w:val="24"/>
              </w:rPr>
            </w:pPr>
            <w:r>
              <w:rPr>
                <w:rFonts w:hint="eastAsia"/>
                <w:b/>
                <w:sz w:val="24"/>
              </w:rPr>
              <w:t>贵州金兰盛锦新材料有限公司美锦煤焦氢综合利用硝基水溶肥生产制造项目环境影响评价第二次公示</w:t>
            </w:r>
          </w:p>
          <w:p>
            <w:pPr>
              <w:adjustRightInd w:val="0"/>
              <w:snapToGrid w:val="0"/>
              <w:spacing w:line="360" w:lineRule="auto"/>
              <w:jc w:val="center"/>
              <w:rPr>
                <w:b/>
                <w:sz w:val="24"/>
              </w:rPr>
            </w:pPr>
          </w:p>
          <w:p>
            <w:pPr>
              <w:adjustRightInd w:val="0"/>
              <w:snapToGrid w:val="0"/>
              <w:spacing w:line="360" w:lineRule="auto"/>
              <w:ind w:firstLine="420" w:firstLineChars="200"/>
              <w:rPr>
                <w:szCs w:val="21"/>
              </w:rPr>
            </w:pPr>
            <w:r>
              <w:rPr>
                <w:rFonts w:hint="eastAsia"/>
                <w:szCs w:val="21"/>
              </w:rPr>
              <w:t>贵州金兰盛锦新材料有限公司拟在贵州六盘水市六枝特区化工园区建设“贵州金兰盛锦新材料有限公司美锦煤焦氢综合利用硝基水溶肥生产制造项目”，根据《环境影响评价公众参与办法》相关规定，现进行第二次公示。公众可至https://www.liuzhi.gov.cn查询详情，下载意见表并按照规定格式要求填写。</w:t>
            </w:r>
          </w:p>
          <w:p>
            <w:pPr>
              <w:adjustRightInd w:val="0"/>
              <w:snapToGrid w:val="0"/>
              <w:spacing w:line="360" w:lineRule="auto"/>
              <w:ind w:firstLine="420" w:firstLineChars="200"/>
              <w:rPr>
                <w:szCs w:val="21"/>
              </w:rPr>
            </w:pPr>
            <w:r>
              <w:rPr>
                <w:rFonts w:hint="eastAsia"/>
                <w:szCs w:val="21"/>
              </w:rPr>
              <w:t>公众可通过信函邮件或电话等，向建设单位提交相关意见建议。</w:t>
            </w:r>
          </w:p>
          <w:p>
            <w:pPr>
              <w:adjustRightInd w:val="0"/>
              <w:snapToGrid w:val="0"/>
              <w:spacing w:line="360" w:lineRule="auto"/>
              <w:ind w:firstLine="420" w:firstLineChars="200"/>
              <w:rPr>
                <w:szCs w:val="21"/>
              </w:rPr>
            </w:pPr>
            <w:r>
              <w:rPr>
                <w:rFonts w:hint="eastAsia"/>
                <w:szCs w:val="21"/>
              </w:rPr>
              <w:t>建设单位：贵州金兰盛锦新材料有限公司</w:t>
            </w:r>
          </w:p>
          <w:p>
            <w:pPr>
              <w:adjustRightInd w:val="0"/>
              <w:snapToGrid w:val="0"/>
              <w:spacing w:line="360" w:lineRule="auto"/>
              <w:ind w:firstLine="420" w:firstLineChars="200"/>
              <w:rPr>
                <w:szCs w:val="21"/>
              </w:rPr>
            </w:pPr>
            <w:r>
              <w:rPr>
                <w:rFonts w:hint="eastAsia"/>
                <w:szCs w:val="21"/>
              </w:rPr>
              <w:t>联系人：王毓国</w:t>
            </w:r>
          </w:p>
          <w:p>
            <w:pPr>
              <w:adjustRightInd w:val="0"/>
              <w:snapToGrid w:val="0"/>
              <w:spacing w:line="360" w:lineRule="auto"/>
              <w:ind w:firstLine="420" w:firstLineChars="200"/>
              <w:rPr>
                <w:szCs w:val="21"/>
              </w:rPr>
            </w:pPr>
            <w:r>
              <w:rPr>
                <w:rFonts w:hint="eastAsia"/>
                <w:szCs w:val="21"/>
              </w:rPr>
              <w:t>联系电话：18203485277</w:t>
            </w:r>
          </w:p>
          <w:p>
            <w:pPr>
              <w:adjustRightInd w:val="0"/>
              <w:snapToGrid w:val="0"/>
              <w:spacing w:line="360" w:lineRule="auto"/>
              <w:ind w:firstLine="420" w:firstLineChars="200"/>
              <w:rPr>
                <w:szCs w:val="21"/>
              </w:rPr>
            </w:pPr>
            <w:r>
              <w:rPr>
                <w:rFonts w:hint="eastAsia"/>
                <w:szCs w:val="21"/>
              </w:rPr>
              <w:t>邮箱：wangyuguo@knlanchem.cn</w:t>
            </w:r>
          </w:p>
          <w:p>
            <w:pPr>
              <w:adjustRightInd w:val="0"/>
              <w:snapToGrid w:val="0"/>
              <w:spacing w:line="360" w:lineRule="auto"/>
              <w:ind w:firstLine="420" w:firstLineChars="200"/>
              <w:rPr>
                <w:szCs w:val="21"/>
              </w:rPr>
            </w:pPr>
            <w:r>
              <w:rPr>
                <w:rFonts w:hint="eastAsia"/>
                <w:szCs w:val="21"/>
              </w:rPr>
              <w:t>公示和征求公众意见时间：2025年6月25日~7月8日，共10个工作日。</w:t>
            </w:r>
          </w:p>
          <w:p>
            <w:pPr>
              <w:adjustRightInd w:val="0"/>
              <w:snapToGrid w:val="0"/>
              <w:spacing w:line="360" w:lineRule="auto"/>
              <w:ind w:firstLine="420" w:firstLineChars="200"/>
              <w:jc w:val="right"/>
              <w:rPr>
                <w:szCs w:val="21"/>
              </w:rPr>
            </w:pPr>
          </w:p>
          <w:p>
            <w:pPr>
              <w:adjustRightInd w:val="0"/>
              <w:snapToGrid w:val="0"/>
              <w:spacing w:line="360" w:lineRule="auto"/>
              <w:ind w:firstLine="420" w:firstLineChars="200"/>
              <w:jc w:val="right"/>
              <w:rPr>
                <w:szCs w:val="21"/>
              </w:rPr>
            </w:pPr>
          </w:p>
          <w:p>
            <w:pPr>
              <w:adjustRightInd w:val="0"/>
              <w:snapToGrid w:val="0"/>
              <w:spacing w:line="360" w:lineRule="auto"/>
              <w:ind w:firstLine="420" w:firstLineChars="200"/>
              <w:jc w:val="right"/>
              <w:rPr>
                <w:szCs w:val="21"/>
              </w:rPr>
            </w:pPr>
          </w:p>
          <w:p>
            <w:pPr>
              <w:adjustRightInd w:val="0"/>
              <w:snapToGrid w:val="0"/>
              <w:spacing w:line="348" w:lineRule="auto"/>
              <w:ind w:firstLine="420" w:firstLineChars="200"/>
              <w:jc w:val="right"/>
              <w:rPr>
                <w:szCs w:val="21"/>
              </w:rPr>
            </w:pPr>
            <w:r>
              <w:rPr>
                <w:rFonts w:hint="eastAsia"/>
                <w:szCs w:val="21"/>
              </w:rPr>
              <w:t>贵州金兰盛锦新材料有限公司</w:t>
            </w:r>
          </w:p>
          <w:p>
            <w:pPr>
              <w:adjustRightInd w:val="0"/>
              <w:snapToGrid w:val="0"/>
              <w:spacing w:line="360" w:lineRule="auto"/>
              <w:ind w:right="210" w:firstLine="420" w:firstLineChars="200"/>
              <w:jc w:val="right"/>
              <w:rPr>
                <w:kern w:val="0"/>
                <w:sz w:val="20"/>
                <w:szCs w:val="21"/>
              </w:rPr>
            </w:pPr>
            <w:r>
              <w:rPr>
                <w:rFonts w:hint="eastAsia"/>
                <w:szCs w:val="21"/>
              </w:rPr>
              <w:t>2</w:t>
            </w:r>
            <w:r>
              <w:rPr>
                <w:szCs w:val="21"/>
              </w:rPr>
              <w:t>02</w:t>
            </w:r>
            <w:r>
              <w:rPr>
                <w:rFonts w:hint="eastAsia"/>
                <w:szCs w:val="21"/>
              </w:rPr>
              <w:t>5年6月25日</w:t>
            </w:r>
          </w:p>
        </w:tc>
      </w:tr>
    </w:tbl>
    <w:p>
      <w:pPr>
        <w:snapToGrid w:val="0"/>
        <w:spacing w:line="360" w:lineRule="auto"/>
        <w:jc w:val="left"/>
        <w:rPr>
          <w:b/>
          <w:bCs/>
          <w:sz w:val="32"/>
          <w:szCs w:val="32"/>
        </w:rPr>
      </w:pPr>
    </w:p>
    <w:p>
      <w:pPr>
        <w:snapToGrid w:val="0"/>
        <w:spacing w:line="360" w:lineRule="auto"/>
        <w:jc w:val="center"/>
        <w:rPr>
          <w:b/>
          <w:bCs/>
          <w:sz w:val="32"/>
          <w:szCs w:val="32"/>
        </w:rPr>
      </w:pPr>
      <w:r>
        <w:drawing>
          <wp:inline distT="0" distB="0" distL="0" distR="0">
            <wp:extent cx="5274310" cy="5408930"/>
            <wp:effectExtent l="19050" t="19050" r="21590" b="20320"/>
            <wp:docPr id="1341420725" name="图片 1" descr="报纸上的一篇文章&#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20725" name="图片 1" descr="报纸上的一篇文章&#10;&#10;AI 生成的内容可能不正确。"/>
                    <pic:cNvPicPr>
                      <a:picLocks noChangeAspect="1"/>
                    </pic:cNvPicPr>
                  </pic:nvPicPr>
                  <pic:blipFill>
                    <a:blip r:embed="rId8"/>
                    <a:stretch>
                      <a:fillRect/>
                    </a:stretch>
                  </pic:blipFill>
                  <pic:spPr>
                    <a:xfrm>
                      <a:off x="0" y="0"/>
                      <a:ext cx="5274310" cy="5408930"/>
                    </a:xfrm>
                    <a:prstGeom prst="rect">
                      <a:avLst/>
                    </a:prstGeom>
                    <a:ln>
                      <a:solidFill>
                        <a:schemeClr val="tx1"/>
                      </a:solidFill>
                    </a:ln>
                  </pic:spPr>
                </pic:pic>
              </a:graphicData>
            </a:graphic>
          </wp:inline>
        </w:drawing>
      </w:r>
    </w:p>
    <w:p>
      <w:pPr>
        <w:snapToGrid w:val="0"/>
        <w:spacing w:line="360" w:lineRule="auto"/>
        <w:jc w:val="center"/>
        <w:rPr>
          <w:b/>
          <w:bCs/>
          <w:sz w:val="24"/>
        </w:rPr>
      </w:pPr>
      <w:r>
        <w:rPr>
          <w:rFonts w:hint="eastAsia"/>
          <w:b/>
          <w:bCs/>
          <w:sz w:val="24"/>
        </w:rPr>
        <w:t>图3</w:t>
      </w:r>
      <w:r>
        <w:rPr>
          <w:b/>
          <w:bCs/>
          <w:sz w:val="24"/>
        </w:rPr>
        <w:t xml:space="preserve">.2   </w:t>
      </w:r>
      <w:r>
        <w:rPr>
          <w:rFonts w:hint="eastAsia"/>
          <w:b/>
          <w:bCs/>
          <w:sz w:val="24"/>
        </w:rPr>
        <w:t>第二次公示（2</w:t>
      </w:r>
      <w:r>
        <w:rPr>
          <w:b/>
          <w:bCs/>
          <w:sz w:val="24"/>
        </w:rPr>
        <w:t>02</w:t>
      </w:r>
      <w:r>
        <w:rPr>
          <w:rFonts w:hint="eastAsia"/>
          <w:b/>
          <w:bCs/>
          <w:sz w:val="24"/>
        </w:rPr>
        <w:t>5年6月26日登报）</w:t>
      </w:r>
    </w:p>
    <w:p>
      <w:pPr>
        <w:snapToGrid w:val="0"/>
        <w:spacing w:line="360" w:lineRule="auto"/>
        <w:jc w:val="center"/>
        <w:rPr>
          <w:b/>
          <w:bCs/>
          <w:sz w:val="32"/>
          <w:szCs w:val="32"/>
        </w:rPr>
      </w:pPr>
      <w:r>
        <w:drawing>
          <wp:inline distT="0" distB="0" distL="0" distR="0">
            <wp:extent cx="5274310" cy="6452235"/>
            <wp:effectExtent l="19050" t="19050" r="21590" b="24765"/>
            <wp:docPr id="2060161971" name="图片 1" descr="文本, 日历&#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61971" name="图片 1" descr="文本, 日历&#10;&#10;AI 生成的内容可能不正确。"/>
                    <pic:cNvPicPr>
                      <a:picLocks noChangeAspect="1"/>
                    </pic:cNvPicPr>
                  </pic:nvPicPr>
                  <pic:blipFill>
                    <a:blip r:embed="rId9"/>
                    <a:stretch>
                      <a:fillRect/>
                    </a:stretch>
                  </pic:blipFill>
                  <pic:spPr>
                    <a:xfrm>
                      <a:off x="0" y="0"/>
                      <a:ext cx="5274310" cy="6452235"/>
                    </a:xfrm>
                    <a:prstGeom prst="rect">
                      <a:avLst/>
                    </a:prstGeom>
                    <a:ln>
                      <a:solidFill>
                        <a:schemeClr val="tx1"/>
                      </a:solidFill>
                    </a:ln>
                  </pic:spPr>
                </pic:pic>
              </a:graphicData>
            </a:graphic>
          </wp:inline>
        </w:drawing>
      </w:r>
    </w:p>
    <w:p>
      <w:pPr>
        <w:snapToGrid w:val="0"/>
        <w:spacing w:before="31" w:beforeLines="10" w:line="360" w:lineRule="auto"/>
        <w:jc w:val="center"/>
        <w:rPr>
          <w:b/>
          <w:bCs/>
          <w:sz w:val="24"/>
        </w:rPr>
      </w:pPr>
      <w:r>
        <w:rPr>
          <w:rFonts w:hint="eastAsia"/>
          <w:b/>
          <w:bCs/>
          <w:sz w:val="24"/>
        </w:rPr>
        <w:t>图3</w:t>
      </w:r>
      <w:r>
        <w:rPr>
          <w:b/>
          <w:bCs/>
          <w:sz w:val="24"/>
        </w:rPr>
        <w:t xml:space="preserve">.3   </w:t>
      </w:r>
      <w:r>
        <w:rPr>
          <w:rFonts w:hint="eastAsia"/>
          <w:b/>
          <w:bCs/>
          <w:sz w:val="24"/>
        </w:rPr>
        <w:t>第二次公示（2</w:t>
      </w:r>
      <w:r>
        <w:rPr>
          <w:b/>
          <w:bCs/>
          <w:sz w:val="24"/>
        </w:rPr>
        <w:t>02</w:t>
      </w:r>
      <w:r>
        <w:rPr>
          <w:rFonts w:hint="eastAsia"/>
          <w:b/>
          <w:bCs/>
          <w:sz w:val="24"/>
        </w:rPr>
        <w:t>5年6月30日登报）</w:t>
      </w:r>
    </w:p>
    <w:p>
      <w:pPr>
        <w:pStyle w:val="25"/>
      </w:pPr>
      <w:r>
        <w:rPr>
          <w:rFonts w:hint="eastAsia"/>
        </w:rPr>
        <w:t>张贴公开</w:t>
      </w:r>
    </w:p>
    <w:p>
      <w:pPr>
        <w:snapToGrid w:val="0"/>
        <w:spacing w:line="360" w:lineRule="auto"/>
        <w:ind w:firstLine="480" w:firstLineChars="200"/>
        <w:rPr>
          <w:sz w:val="24"/>
        </w:rPr>
      </w:pPr>
      <w:r>
        <w:rPr>
          <w:rFonts w:hint="eastAsia"/>
          <w:sz w:val="24"/>
        </w:rPr>
        <w:t>根据《环境影响评价公众参与办法》（生态环境部令</w:t>
      </w:r>
      <w:r>
        <w:rPr>
          <w:sz w:val="24"/>
        </w:rPr>
        <w:t>[2018]</w:t>
      </w:r>
      <w:r>
        <w:rPr>
          <w:rFonts w:hint="eastAsia"/>
          <w:sz w:val="24"/>
        </w:rPr>
        <w:t>第4号）要求，第二次公示可通过建设项目所在地公众易于知悉的场所张贴公告的方式公开，且持续公开期限不得少于1</w:t>
      </w:r>
      <w:r>
        <w:rPr>
          <w:sz w:val="24"/>
        </w:rPr>
        <w:t>0</w:t>
      </w:r>
      <w:r>
        <w:rPr>
          <w:rFonts w:hint="eastAsia"/>
          <w:sz w:val="24"/>
        </w:rPr>
        <w:t>个工作日。我单位于2</w:t>
      </w:r>
      <w:r>
        <w:rPr>
          <w:sz w:val="24"/>
        </w:rPr>
        <w:t>02</w:t>
      </w:r>
      <w:r>
        <w:rPr>
          <w:rFonts w:hint="eastAsia"/>
          <w:sz w:val="24"/>
        </w:rPr>
        <w:t>5年6月25日~7月8日，在六枝特区进行了第二次张贴公示。公示内容见表3</w:t>
      </w:r>
      <w:r>
        <w:rPr>
          <w:sz w:val="24"/>
        </w:rPr>
        <w:t>-3</w:t>
      </w:r>
      <w:r>
        <w:rPr>
          <w:rFonts w:hint="eastAsia"/>
          <w:sz w:val="24"/>
        </w:rPr>
        <w:t>，公示情况见图3</w:t>
      </w:r>
      <w:r>
        <w:rPr>
          <w:sz w:val="24"/>
        </w:rPr>
        <w:t>.4</w:t>
      </w:r>
      <w:r>
        <w:rPr>
          <w:rFonts w:hint="eastAsia"/>
          <w:sz w:val="24"/>
        </w:rPr>
        <w:t>。</w:t>
      </w:r>
    </w:p>
    <w:p>
      <w:pPr>
        <w:snapToGrid w:val="0"/>
        <w:spacing w:line="360" w:lineRule="auto"/>
        <w:jc w:val="center"/>
        <w:rPr>
          <w:b/>
          <w:bCs/>
          <w:sz w:val="24"/>
        </w:rPr>
      </w:pPr>
    </w:p>
    <w:p>
      <w:pPr>
        <w:snapToGrid w:val="0"/>
        <w:spacing w:line="360" w:lineRule="auto"/>
        <w:jc w:val="center"/>
        <w:rPr>
          <w:b/>
          <w:bCs/>
          <w:sz w:val="24"/>
        </w:rPr>
      </w:pPr>
    </w:p>
    <w:p>
      <w:pPr>
        <w:snapToGrid w:val="0"/>
        <w:spacing w:line="360" w:lineRule="auto"/>
        <w:jc w:val="center"/>
        <w:rPr>
          <w:b/>
          <w:bCs/>
          <w:sz w:val="24"/>
        </w:rPr>
      </w:pPr>
      <w:r>
        <w:rPr>
          <w:rFonts w:hint="eastAsia"/>
          <w:b/>
          <w:bCs/>
          <w:sz w:val="24"/>
        </w:rPr>
        <w:t>表</w:t>
      </w:r>
      <w:r>
        <w:rPr>
          <w:b/>
          <w:bCs/>
          <w:sz w:val="24"/>
        </w:rPr>
        <w:t xml:space="preserve">3-3   </w:t>
      </w:r>
      <w:r>
        <w:rPr>
          <w:rFonts w:hint="eastAsia"/>
          <w:b/>
          <w:bCs/>
          <w:sz w:val="24"/>
        </w:rPr>
        <w:t>第二次公示内容（张贴）</w:t>
      </w:r>
    </w:p>
    <w:tbl>
      <w:tblPr>
        <w:tblStyle w:val="16"/>
        <w:tblW w:w="92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09" w:type="dxa"/>
            <w:vAlign w:val="center"/>
          </w:tcPr>
          <w:p>
            <w:pPr>
              <w:adjustRightInd w:val="0"/>
              <w:snapToGrid w:val="0"/>
              <w:spacing w:line="360" w:lineRule="auto"/>
              <w:jc w:val="center"/>
              <w:rPr>
                <w:b/>
                <w:sz w:val="24"/>
              </w:rPr>
            </w:pPr>
            <w:r>
              <w:rPr>
                <w:rFonts w:hint="eastAsia"/>
                <w:b/>
                <w:sz w:val="24"/>
              </w:rPr>
              <w:t>贵州金兰盛锦新材料有限公司美锦煤焦氢综合利用硝基水溶肥生产制造项目</w:t>
            </w:r>
          </w:p>
          <w:p>
            <w:pPr>
              <w:adjustRightInd w:val="0"/>
              <w:snapToGrid w:val="0"/>
              <w:spacing w:line="360" w:lineRule="auto"/>
              <w:jc w:val="center"/>
              <w:rPr>
                <w:b/>
                <w:sz w:val="24"/>
              </w:rPr>
            </w:pPr>
            <w:r>
              <w:rPr>
                <w:rFonts w:hint="eastAsia"/>
                <w:b/>
                <w:sz w:val="24"/>
              </w:rPr>
              <w:t>环境影响评价第二次公示</w:t>
            </w:r>
          </w:p>
          <w:p>
            <w:pPr>
              <w:adjustRightInd w:val="0"/>
              <w:snapToGrid w:val="0"/>
              <w:spacing w:line="348" w:lineRule="auto"/>
              <w:jc w:val="center"/>
              <w:rPr>
                <w:b/>
                <w:sz w:val="24"/>
              </w:rPr>
            </w:pPr>
          </w:p>
          <w:p>
            <w:pPr>
              <w:adjustRightInd w:val="0"/>
              <w:snapToGrid w:val="0"/>
              <w:spacing w:line="348" w:lineRule="auto"/>
              <w:ind w:firstLine="420" w:firstLineChars="200"/>
              <w:rPr>
                <w:szCs w:val="21"/>
              </w:rPr>
            </w:pPr>
            <w:r>
              <w:rPr>
                <w:rFonts w:hint="eastAsia"/>
                <w:szCs w:val="21"/>
              </w:rPr>
              <w:t>根据《环境影响评价公众参与办法》（生态环境部 部令 第4号）中的相关规定，本项目于2024年11月22日在六枝特区人民政府网站进行了环境影响评价第一次公示，现针对该项目拟采取的主要环保措施及环评结论进行第二次公示，公示内容如下：</w:t>
            </w:r>
          </w:p>
          <w:p>
            <w:pPr>
              <w:adjustRightInd w:val="0"/>
              <w:snapToGrid w:val="0"/>
              <w:spacing w:line="348" w:lineRule="auto"/>
              <w:ind w:firstLine="420" w:firstLineChars="200"/>
              <w:rPr>
                <w:szCs w:val="21"/>
              </w:rPr>
            </w:pPr>
            <w:r>
              <w:rPr>
                <w:rFonts w:hint="eastAsia"/>
                <w:szCs w:val="21"/>
              </w:rPr>
              <w:t>一、项目概况</w:t>
            </w:r>
          </w:p>
          <w:p>
            <w:pPr>
              <w:adjustRightInd w:val="0"/>
              <w:snapToGrid w:val="0"/>
              <w:spacing w:line="348" w:lineRule="auto"/>
              <w:ind w:firstLine="420" w:firstLineChars="200"/>
              <w:rPr>
                <w:szCs w:val="21"/>
              </w:rPr>
            </w:pPr>
            <w:r>
              <w:rPr>
                <w:rFonts w:hint="eastAsia"/>
                <w:szCs w:val="21"/>
              </w:rPr>
              <w:t>（1）项目名称：贵州金兰盛锦新材料有限公司美锦煤焦氢综合利用硝基水溶肥生产制造项目</w:t>
            </w:r>
          </w:p>
          <w:p>
            <w:pPr>
              <w:adjustRightInd w:val="0"/>
              <w:snapToGrid w:val="0"/>
              <w:spacing w:line="348" w:lineRule="auto"/>
              <w:ind w:firstLine="420" w:firstLineChars="200"/>
              <w:rPr>
                <w:szCs w:val="21"/>
              </w:rPr>
            </w:pPr>
            <w:r>
              <w:rPr>
                <w:rFonts w:hint="eastAsia"/>
                <w:szCs w:val="21"/>
              </w:rPr>
              <w:t>（2）建设地点：贵州六盘水市六枝特区化工园区</w:t>
            </w:r>
          </w:p>
          <w:p>
            <w:pPr>
              <w:adjustRightInd w:val="0"/>
              <w:snapToGrid w:val="0"/>
              <w:spacing w:line="348" w:lineRule="auto"/>
              <w:ind w:firstLine="420" w:firstLineChars="200"/>
              <w:rPr>
                <w:szCs w:val="21"/>
              </w:rPr>
            </w:pPr>
            <w:r>
              <w:rPr>
                <w:rFonts w:hint="eastAsia"/>
                <w:szCs w:val="21"/>
              </w:rPr>
              <w:t>（3）建设内容：一期：年产27万吨硝酸装置一套、年产15万吨硝酸装置一套、年产30万吨农业用硝酸铵钙生产线、年产10万吨四水硝酸钙生产线、年产27万吨中量元素水溶肥料生产线（钙镁肥）、年产5万吨土壤调理剂（钙泥）生产线、年产5万吨氨水生产线及配套公辅设施；二期：年产15万吨硝酸装置一套、年产15万吨大量元素水溶肥料生产线（包含硝酸钾10万吨／年）、年产15万吨复合肥料生产线（包含氯化铵5.3万吨／年）、年产30万吨硝酸磷肥生产线、年产13万吨商品磷精矿生产线及配套公辅设施。</w:t>
            </w:r>
          </w:p>
          <w:p>
            <w:pPr>
              <w:adjustRightInd w:val="0"/>
              <w:snapToGrid w:val="0"/>
              <w:spacing w:line="348" w:lineRule="auto"/>
              <w:ind w:firstLine="420" w:firstLineChars="200"/>
              <w:rPr>
                <w:szCs w:val="21"/>
              </w:rPr>
            </w:pPr>
            <w:r>
              <w:rPr>
                <w:rFonts w:hint="eastAsia"/>
                <w:szCs w:val="21"/>
              </w:rPr>
              <w:t>二、本项目主要环境影响</w:t>
            </w:r>
          </w:p>
          <w:p>
            <w:pPr>
              <w:adjustRightInd w:val="0"/>
              <w:snapToGrid w:val="0"/>
              <w:spacing w:line="348" w:lineRule="auto"/>
              <w:ind w:firstLine="420" w:firstLineChars="200"/>
              <w:rPr>
                <w:szCs w:val="21"/>
              </w:rPr>
            </w:pPr>
            <w:r>
              <w:rPr>
                <w:rFonts w:hint="eastAsia"/>
                <w:szCs w:val="21"/>
              </w:rPr>
              <w:t>本项目施工期和运营期会对周围环境产生一定影响。</w:t>
            </w:r>
          </w:p>
          <w:p>
            <w:pPr>
              <w:adjustRightInd w:val="0"/>
              <w:snapToGrid w:val="0"/>
              <w:spacing w:line="348" w:lineRule="auto"/>
              <w:ind w:firstLine="420" w:firstLineChars="200"/>
              <w:rPr>
                <w:szCs w:val="21"/>
              </w:rPr>
            </w:pPr>
            <w:r>
              <w:rPr>
                <w:rFonts w:hint="eastAsia"/>
                <w:szCs w:val="21"/>
              </w:rPr>
              <w:t>施工期：主要包括施工设备废气、扬尘等环境空气影响，施工人员生活污水、施工现场清洗和混凝土养护等生产废水的影响，施工机械设备和运输设备的噪声影响，基础开挖、工程建筑及生活垃圾等固体废物的影响，以及工程占地等对生态环境造成的影响。</w:t>
            </w:r>
          </w:p>
          <w:p>
            <w:pPr>
              <w:adjustRightInd w:val="0"/>
              <w:snapToGrid w:val="0"/>
              <w:spacing w:line="348" w:lineRule="auto"/>
              <w:ind w:firstLine="420" w:firstLineChars="200"/>
              <w:rPr>
                <w:szCs w:val="21"/>
              </w:rPr>
            </w:pPr>
            <w:r>
              <w:rPr>
                <w:rFonts w:hint="eastAsia"/>
                <w:szCs w:val="21"/>
              </w:rPr>
              <w:t>运营期：主要为硝酸配置过程中产生的废气、各生产线生产过程中产生的配料废气、造粒废气、烘干废气及各产尘点粉尘等废气产生的颗粒物、NO</w:t>
            </w:r>
            <w:r>
              <w:rPr>
                <w:rFonts w:hint="eastAsia"/>
                <w:szCs w:val="21"/>
                <w:vertAlign w:val="subscript"/>
              </w:rPr>
              <w:t>X</w:t>
            </w:r>
            <w:r>
              <w:rPr>
                <w:rFonts w:hint="eastAsia"/>
                <w:szCs w:val="21"/>
              </w:rPr>
              <w:t>、氟化物等污染物对环境空气的影响；车间工艺废水、初期雨水、循环冷却水和生活污水等对水环境的影响；各类机泵、风机、机组等运转设备噪声及交通噪声的影响；滤渣、废催化剂、废矿物油及各类收尘等工业固废以及生活垃圾等固废处置产生的影响。</w:t>
            </w:r>
          </w:p>
          <w:p>
            <w:pPr>
              <w:adjustRightInd w:val="0"/>
              <w:snapToGrid w:val="0"/>
              <w:spacing w:line="348" w:lineRule="auto"/>
              <w:ind w:firstLine="420" w:firstLineChars="200"/>
              <w:rPr>
                <w:szCs w:val="21"/>
              </w:rPr>
            </w:pPr>
            <w:r>
              <w:rPr>
                <w:rFonts w:hint="eastAsia"/>
                <w:szCs w:val="21"/>
              </w:rPr>
              <w:t>三、拟采取的主要环保措施</w:t>
            </w:r>
          </w:p>
          <w:p>
            <w:pPr>
              <w:adjustRightInd w:val="0"/>
              <w:snapToGrid w:val="0"/>
              <w:spacing w:line="348" w:lineRule="auto"/>
              <w:ind w:firstLine="420" w:firstLineChars="200"/>
              <w:rPr>
                <w:szCs w:val="21"/>
              </w:rPr>
            </w:pPr>
            <w:r>
              <w:rPr>
                <w:rFonts w:hint="eastAsia"/>
                <w:szCs w:val="21"/>
              </w:rPr>
              <w:t>施工期：通过文明施工、洒水抑尘、遮盖封闭等措施，减轻施工废气对周围环境空气的影响；修建临时沉淀池，施工废水经处理后回用于施工场地，施工人员产生的生活污水经旱厕收集后用于周围旱地的农灌；合理安排施工时间、选用低噪声设备等措施降低施工噪声对环境的影响；施工固废分类堆放并苫盖，尽量做到土石方平衡，能利用的尽量回收利用，生活垃圾等不能回收的定期按规外运；施工结束后做好厂区绿化。</w:t>
            </w:r>
          </w:p>
          <w:p>
            <w:pPr>
              <w:adjustRightInd w:val="0"/>
              <w:snapToGrid w:val="0"/>
              <w:spacing w:line="348" w:lineRule="auto"/>
              <w:ind w:firstLine="420" w:firstLineChars="200"/>
              <w:rPr>
                <w:szCs w:val="21"/>
              </w:rPr>
            </w:pPr>
            <w:r>
              <w:rPr>
                <w:rFonts w:hint="eastAsia"/>
                <w:szCs w:val="21"/>
              </w:rPr>
              <w:t>运营期：①废气：硝酸配置过程中产生的废气经氨催化还原法处理达标后排放，各生产线配料废气经尾气吸收塔处理达标后排放，造粒废气、烘干废气经湿式洗涤器处理达标后排放，各类粉尘经布袋除尘处理达标后排放。②按照雨污分流原则，生产废水回用于生产，循环水及脱盐水站浓水、生活污水排入六枝特区化工园区污水处理厂处理，对周围环境影响不大。③对于噪声，采取选用符合国家噪声标准规定的设备，对主要噪声源设置减振基础，加消声器等措施降低噪声的影响。④设危废暂存间1座，对废催化剂、废矿物油等危险废物进行暂存后妥善处置不外排；对滤渣及各类收尘等一般工业固废，综合利用不外排；生活垃圾集中收集后纳入当地环卫系统。</w:t>
            </w:r>
          </w:p>
          <w:p>
            <w:pPr>
              <w:adjustRightInd w:val="0"/>
              <w:snapToGrid w:val="0"/>
              <w:spacing w:line="348" w:lineRule="auto"/>
              <w:ind w:firstLine="420" w:firstLineChars="200"/>
              <w:rPr>
                <w:szCs w:val="21"/>
              </w:rPr>
            </w:pPr>
            <w:r>
              <w:rPr>
                <w:rFonts w:hint="eastAsia"/>
                <w:szCs w:val="21"/>
              </w:rPr>
              <w:t>四、环评结论</w:t>
            </w:r>
          </w:p>
          <w:p>
            <w:pPr>
              <w:adjustRightInd w:val="0"/>
              <w:snapToGrid w:val="0"/>
              <w:spacing w:line="348" w:lineRule="auto"/>
              <w:ind w:firstLine="420" w:firstLineChars="200"/>
              <w:rPr>
                <w:szCs w:val="21"/>
              </w:rPr>
            </w:pPr>
            <w:r>
              <w:rPr>
                <w:rFonts w:hint="eastAsia"/>
                <w:szCs w:val="21"/>
              </w:rPr>
              <w:t>本项目符合国家产业政策，采用切实有效的污染防治措施，能够实现污染物达标排放，对外环境产生的影响满足相关环境质量标准要求；针对项目风险因素，采用严格的风险防范措施，并制定了详细的应急预案，确保环境风险可以接受。在严格落实本评价提出的各种环境保护措施的前提下，从环境保护的角度分析，拟建项目建设可行。</w:t>
            </w:r>
          </w:p>
          <w:p>
            <w:pPr>
              <w:adjustRightInd w:val="0"/>
              <w:snapToGrid w:val="0"/>
              <w:spacing w:line="348" w:lineRule="auto"/>
              <w:ind w:firstLine="420" w:firstLineChars="200"/>
              <w:rPr>
                <w:szCs w:val="21"/>
              </w:rPr>
            </w:pPr>
            <w:r>
              <w:rPr>
                <w:rFonts w:hint="eastAsia"/>
                <w:szCs w:val="21"/>
              </w:rPr>
              <w:t>五、征求意见的公众范围及主要事项</w:t>
            </w:r>
          </w:p>
          <w:p>
            <w:pPr>
              <w:adjustRightInd w:val="0"/>
              <w:snapToGrid w:val="0"/>
              <w:spacing w:line="348" w:lineRule="auto"/>
              <w:ind w:firstLine="420" w:firstLineChars="200"/>
              <w:rPr>
                <w:szCs w:val="21"/>
              </w:rPr>
            </w:pPr>
            <w:r>
              <w:rPr>
                <w:rFonts w:hint="eastAsia"/>
                <w:szCs w:val="21"/>
              </w:rPr>
              <w:t>征求意见的公众主要是项目周边范围的企事业单位及居民。</w:t>
            </w:r>
          </w:p>
          <w:p>
            <w:pPr>
              <w:adjustRightInd w:val="0"/>
              <w:snapToGrid w:val="0"/>
              <w:spacing w:line="348" w:lineRule="auto"/>
              <w:ind w:firstLine="420" w:firstLineChars="200"/>
              <w:rPr>
                <w:szCs w:val="21"/>
              </w:rPr>
            </w:pPr>
            <w:r>
              <w:rPr>
                <w:rFonts w:hint="eastAsia"/>
                <w:szCs w:val="21"/>
              </w:rPr>
              <w:t>征求意见的主要事项包括：①从环境保护角度，是否支持本项目的建设；②公众就本项目建设对周围环境的意见；③公众对本项目环境保护工作的建议。</w:t>
            </w:r>
          </w:p>
          <w:p>
            <w:pPr>
              <w:adjustRightInd w:val="0"/>
              <w:snapToGrid w:val="0"/>
              <w:spacing w:line="348" w:lineRule="auto"/>
              <w:ind w:firstLine="420" w:firstLineChars="200"/>
              <w:rPr>
                <w:szCs w:val="21"/>
              </w:rPr>
            </w:pPr>
            <w:r>
              <w:rPr>
                <w:rFonts w:hint="eastAsia"/>
                <w:szCs w:val="21"/>
              </w:rPr>
              <w:t>六、公众提出意见的方式和途径</w:t>
            </w:r>
          </w:p>
          <w:p>
            <w:pPr>
              <w:adjustRightInd w:val="0"/>
              <w:snapToGrid w:val="0"/>
              <w:spacing w:line="348" w:lineRule="auto"/>
              <w:ind w:firstLine="420" w:firstLineChars="200"/>
              <w:rPr>
                <w:szCs w:val="21"/>
              </w:rPr>
            </w:pPr>
            <w:r>
              <w:rPr>
                <w:rFonts w:hint="eastAsia"/>
                <w:szCs w:val="21"/>
              </w:rPr>
              <w:t>公众可通过信函、电子邮件或拨打电话等方式，向建设单位提交与建设项目环境影响有关的意见和建议。</w:t>
            </w:r>
          </w:p>
          <w:p>
            <w:pPr>
              <w:adjustRightInd w:val="0"/>
              <w:snapToGrid w:val="0"/>
              <w:spacing w:line="348" w:lineRule="auto"/>
              <w:ind w:firstLine="420" w:firstLineChars="200"/>
              <w:rPr>
                <w:szCs w:val="21"/>
              </w:rPr>
            </w:pPr>
            <w:r>
              <w:rPr>
                <w:rFonts w:hint="eastAsia"/>
                <w:szCs w:val="21"/>
              </w:rPr>
              <w:t>七、建设单位及联系方式</w:t>
            </w:r>
          </w:p>
          <w:p>
            <w:pPr>
              <w:adjustRightInd w:val="0"/>
              <w:snapToGrid w:val="0"/>
              <w:spacing w:line="348" w:lineRule="auto"/>
              <w:ind w:firstLine="420" w:firstLineChars="200"/>
              <w:rPr>
                <w:szCs w:val="21"/>
              </w:rPr>
            </w:pPr>
            <w:r>
              <w:rPr>
                <w:rFonts w:hint="eastAsia"/>
                <w:szCs w:val="21"/>
              </w:rPr>
              <w:t>建设单位：贵州金兰盛锦新材料有限公司</w:t>
            </w:r>
          </w:p>
          <w:p>
            <w:pPr>
              <w:adjustRightInd w:val="0"/>
              <w:snapToGrid w:val="0"/>
              <w:spacing w:line="348" w:lineRule="auto"/>
              <w:ind w:firstLine="420" w:firstLineChars="200"/>
              <w:rPr>
                <w:szCs w:val="21"/>
              </w:rPr>
            </w:pPr>
            <w:r>
              <w:rPr>
                <w:rFonts w:hint="eastAsia"/>
                <w:szCs w:val="21"/>
              </w:rPr>
              <w:t>联 系 人：王毓国</w:t>
            </w:r>
          </w:p>
          <w:p>
            <w:pPr>
              <w:adjustRightInd w:val="0"/>
              <w:snapToGrid w:val="0"/>
              <w:spacing w:line="348" w:lineRule="auto"/>
              <w:ind w:firstLine="420" w:firstLineChars="200"/>
              <w:rPr>
                <w:szCs w:val="21"/>
              </w:rPr>
            </w:pPr>
            <w:r>
              <w:rPr>
                <w:rFonts w:hint="eastAsia"/>
                <w:szCs w:val="21"/>
              </w:rPr>
              <w:t>联系电话：18203485277</w:t>
            </w:r>
          </w:p>
          <w:p>
            <w:pPr>
              <w:adjustRightInd w:val="0"/>
              <w:snapToGrid w:val="0"/>
              <w:spacing w:line="348" w:lineRule="auto"/>
              <w:ind w:firstLine="420" w:firstLineChars="200"/>
              <w:rPr>
                <w:szCs w:val="21"/>
              </w:rPr>
            </w:pPr>
            <w:r>
              <w:rPr>
                <w:rFonts w:hint="eastAsia"/>
                <w:szCs w:val="21"/>
              </w:rPr>
              <w:t>邮    箱：wangyuguo@knlanchem.cn</w:t>
            </w:r>
          </w:p>
          <w:p>
            <w:pPr>
              <w:adjustRightInd w:val="0"/>
              <w:snapToGrid w:val="0"/>
              <w:spacing w:line="348" w:lineRule="auto"/>
              <w:ind w:firstLine="420" w:firstLineChars="200"/>
              <w:rPr>
                <w:szCs w:val="21"/>
              </w:rPr>
            </w:pPr>
            <w:r>
              <w:rPr>
                <w:rFonts w:hint="eastAsia"/>
                <w:szCs w:val="21"/>
              </w:rPr>
              <w:t>八、环境影响评价单位：贵州省化工研究院</w:t>
            </w:r>
          </w:p>
          <w:p>
            <w:pPr>
              <w:adjustRightInd w:val="0"/>
              <w:snapToGrid w:val="0"/>
              <w:spacing w:line="348" w:lineRule="auto"/>
              <w:ind w:firstLine="420" w:firstLineChars="200"/>
              <w:rPr>
                <w:szCs w:val="21"/>
              </w:rPr>
            </w:pPr>
            <w:r>
              <w:rPr>
                <w:rFonts w:hint="eastAsia"/>
                <w:szCs w:val="21"/>
              </w:rPr>
              <w:t>九、公众意见表：可至https://www.liuzhi.gov.cn下载意见表并按照规定格式要求填写。</w:t>
            </w:r>
          </w:p>
          <w:p>
            <w:pPr>
              <w:adjustRightInd w:val="0"/>
              <w:snapToGrid w:val="0"/>
              <w:spacing w:line="348" w:lineRule="auto"/>
              <w:ind w:firstLine="420" w:firstLineChars="200"/>
              <w:rPr>
                <w:szCs w:val="21"/>
              </w:rPr>
            </w:pPr>
            <w:r>
              <w:rPr>
                <w:rFonts w:hint="eastAsia"/>
                <w:szCs w:val="21"/>
              </w:rPr>
              <w:t>注：公众在提交意见时，应当提供有效的联系方式。国家鼓励采用实名方式提交意见并提供常住地址。</w:t>
            </w:r>
          </w:p>
          <w:p>
            <w:pPr>
              <w:adjustRightInd w:val="0"/>
              <w:snapToGrid w:val="0"/>
              <w:spacing w:line="348" w:lineRule="auto"/>
              <w:ind w:firstLine="420" w:firstLineChars="200"/>
              <w:jc w:val="left"/>
              <w:rPr>
                <w:szCs w:val="21"/>
              </w:rPr>
            </w:pPr>
            <w:r>
              <w:rPr>
                <w:rFonts w:hint="eastAsia"/>
                <w:szCs w:val="21"/>
              </w:rPr>
              <w:t>十、公示和征求公众意见时间：2025年6月25日~7月8日，共10个工作日。</w:t>
            </w:r>
          </w:p>
          <w:p>
            <w:pPr>
              <w:adjustRightInd w:val="0"/>
              <w:snapToGrid w:val="0"/>
              <w:spacing w:line="348" w:lineRule="auto"/>
              <w:ind w:firstLine="420" w:firstLineChars="200"/>
              <w:jc w:val="right"/>
              <w:rPr>
                <w:szCs w:val="21"/>
              </w:rPr>
            </w:pPr>
          </w:p>
          <w:p>
            <w:pPr>
              <w:adjustRightInd w:val="0"/>
              <w:snapToGrid w:val="0"/>
              <w:spacing w:line="348" w:lineRule="auto"/>
              <w:ind w:firstLine="420" w:firstLineChars="200"/>
              <w:jc w:val="right"/>
              <w:rPr>
                <w:szCs w:val="21"/>
              </w:rPr>
            </w:pPr>
          </w:p>
          <w:p>
            <w:pPr>
              <w:adjustRightInd w:val="0"/>
              <w:snapToGrid w:val="0"/>
              <w:spacing w:line="348" w:lineRule="auto"/>
              <w:ind w:firstLine="420" w:firstLineChars="200"/>
              <w:jc w:val="right"/>
              <w:rPr>
                <w:szCs w:val="21"/>
              </w:rPr>
            </w:pPr>
            <w:r>
              <w:rPr>
                <w:rFonts w:hint="eastAsia"/>
                <w:szCs w:val="21"/>
              </w:rPr>
              <w:t>贵州金兰盛锦新材料有限公司</w:t>
            </w:r>
          </w:p>
          <w:p>
            <w:pPr>
              <w:adjustRightInd w:val="0"/>
              <w:snapToGrid w:val="0"/>
              <w:spacing w:line="348" w:lineRule="auto"/>
              <w:ind w:right="420" w:firstLine="420" w:firstLineChars="200"/>
              <w:jc w:val="right"/>
              <w:rPr>
                <w:kern w:val="0"/>
                <w:sz w:val="20"/>
                <w:szCs w:val="21"/>
              </w:rPr>
            </w:pPr>
            <w:r>
              <w:rPr>
                <w:rFonts w:hint="eastAsia"/>
                <w:szCs w:val="21"/>
              </w:rPr>
              <w:t>2</w:t>
            </w:r>
            <w:r>
              <w:rPr>
                <w:szCs w:val="21"/>
              </w:rPr>
              <w:t>02</w:t>
            </w:r>
            <w:r>
              <w:rPr>
                <w:rFonts w:hint="eastAsia"/>
                <w:szCs w:val="21"/>
              </w:rPr>
              <w:t>5年6月25日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09" w:type="dxa"/>
          </w:tcPr>
          <w:p>
            <w:pPr>
              <w:snapToGrid w:val="0"/>
              <w:spacing w:line="360" w:lineRule="auto"/>
              <w:jc w:val="center"/>
              <w:rPr>
                <w:b/>
                <w:bCs/>
                <w:kern w:val="0"/>
                <w:sz w:val="32"/>
                <w:szCs w:val="32"/>
              </w:rPr>
            </w:pPr>
            <w:r>
              <w:rPr>
                <w:b/>
                <w:bCs/>
                <w:kern w:val="0"/>
                <w:sz w:val="32"/>
                <w:szCs w:val="32"/>
              </w:rPr>
              <w:drawing>
                <wp:inline distT="0" distB="0" distL="0" distR="0">
                  <wp:extent cx="3952240" cy="2962910"/>
                  <wp:effectExtent l="19050" t="19050" r="10160" b="279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2637" cy="2963319"/>
                          </a:xfrm>
                          <a:prstGeom prst="rect">
                            <a:avLst/>
                          </a:prstGeom>
                          <a:ln w="3175">
                            <a:solidFill>
                              <a:schemeClr val="tx1"/>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09" w:type="dxa"/>
          </w:tcPr>
          <w:p>
            <w:pPr>
              <w:snapToGrid w:val="0"/>
              <w:spacing w:line="360" w:lineRule="auto"/>
              <w:jc w:val="center"/>
              <w:rPr>
                <w:b/>
                <w:bCs/>
                <w:kern w:val="0"/>
                <w:sz w:val="32"/>
                <w:szCs w:val="32"/>
              </w:rPr>
            </w:pPr>
            <w:r>
              <w:rPr>
                <w:b/>
                <w:bCs/>
                <w:kern w:val="0"/>
                <w:sz w:val="32"/>
                <w:szCs w:val="32"/>
              </w:rPr>
              <w:drawing>
                <wp:inline distT="0" distB="0" distL="0" distR="0">
                  <wp:extent cx="2223135" cy="2965450"/>
                  <wp:effectExtent l="19050" t="19050" r="24765" b="254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3358" cy="2965637"/>
                          </a:xfrm>
                          <a:prstGeom prst="rect">
                            <a:avLst/>
                          </a:prstGeom>
                          <a:ln w="3175">
                            <a:solidFill>
                              <a:schemeClr val="tx1"/>
                            </a:solidFill>
                          </a:ln>
                        </pic:spPr>
                      </pic:pic>
                    </a:graphicData>
                  </a:graphic>
                </wp:inline>
              </w:drawing>
            </w:r>
          </w:p>
        </w:tc>
      </w:tr>
    </w:tbl>
    <w:p>
      <w:pPr>
        <w:snapToGrid w:val="0"/>
        <w:spacing w:line="360" w:lineRule="auto"/>
        <w:jc w:val="center"/>
        <w:rPr>
          <w:b/>
          <w:bCs/>
          <w:sz w:val="24"/>
        </w:rPr>
      </w:pPr>
      <w:r>
        <w:rPr>
          <w:rFonts w:hint="eastAsia"/>
          <w:b/>
          <w:bCs/>
          <w:sz w:val="24"/>
        </w:rPr>
        <w:t>图</w:t>
      </w:r>
      <w:r>
        <w:rPr>
          <w:b/>
          <w:bCs/>
          <w:sz w:val="24"/>
        </w:rPr>
        <w:t xml:space="preserve">3-4   </w:t>
      </w:r>
      <w:r>
        <w:rPr>
          <w:rFonts w:hint="eastAsia"/>
          <w:b/>
          <w:bCs/>
          <w:sz w:val="24"/>
        </w:rPr>
        <w:t>第二次公示（张贴）</w:t>
      </w:r>
    </w:p>
    <w:p>
      <w:pPr>
        <w:pStyle w:val="25"/>
      </w:pPr>
      <w:r>
        <w:rPr>
          <w:rFonts w:hint="eastAsia"/>
        </w:rPr>
        <w:t>公众意见表</w:t>
      </w:r>
    </w:p>
    <w:p>
      <w:pPr>
        <w:snapToGrid w:val="0"/>
        <w:spacing w:line="360" w:lineRule="auto"/>
        <w:ind w:firstLine="480" w:firstLineChars="200"/>
        <w:rPr>
          <w:sz w:val="24"/>
        </w:rPr>
      </w:pPr>
      <w:r>
        <w:rPr>
          <w:rFonts w:hint="eastAsia"/>
          <w:sz w:val="24"/>
        </w:rPr>
        <w:t>根据《环境影响评价公众参与办法》（生态环境部令</w:t>
      </w:r>
      <w:r>
        <w:rPr>
          <w:sz w:val="24"/>
        </w:rPr>
        <w:t>[2018]</w:t>
      </w:r>
      <w:r>
        <w:rPr>
          <w:rFonts w:hint="eastAsia"/>
          <w:sz w:val="24"/>
        </w:rPr>
        <w:t>第4号）要求，建设项目环境影响评价公示应公开公众意见的网络链接，链接网站附有公众意见表，公众可下载意见表并按照规定格式要求填写，提交给建设单位。</w:t>
      </w:r>
    </w:p>
    <w:p>
      <w:pPr>
        <w:snapToGrid w:val="0"/>
        <w:spacing w:line="360" w:lineRule="auto"/>
        <w:ind w:firstLine="480" w:firstLineChars="200"/>
        <w:rPr>
          <w:b/>
          <w:bCs/>
          <w:sz w:val="32"/>
          <w:szCs w:val="32"/>
        </w:rPr>
      </w:pPr>
      <w:r>
        <w:rPr>
          <w:rFonts w:hint="eastAsia"/>
          <w:sz w:val="24"/>
        </w:rPr>
        <w:t xml:space="preserve">本项目环境影响评价第一次公示和第二次网络公示内容后均上传附有“建设项目环境影响评价公众意见表”，第二次公示报纸和张贴公开均附有意见表的网络链接。意见表格式下载自《关于发布&lt;环境影响评价公众参与办法&gt;配套文件的公告》（生态环境部 公告 </w:t>
      </w:r>
      <w:r>
        <w:rPr>
          <w:sz w:val="24"/>
        </w:rPr>
        <w:t>2018</w:t>
      </w:r>
      <w:r>
        <w:rPr>
          <w:rFonts w:hint="eastAsia"/>
          <w:sz w:val="24"/>
        </w:rPr>
        <w:t>年 第4</w:t>
      </w:r>
      <w:r>
        <w:rPr>
          <w:sz w:val="24"/>
        </w:rPr>
        <w:t>8</w:t>
      </w:r>
      <w:r>
        <w:rPr>
          <w:rFonts w:hint="eastAsia"/>
          <w:sz w:val="24"/>
        </w:rPr>
        <w:t>号）附件，详见表</w:t>
      </w:r>
      <w:r>
        <w:rPr>
          <w:sz w:val="24"/>
        </w:rPr>
        <w:t>3-4</w:t>
      </w:r>
      <w:r>
        <w:rPr>
          <w:rFonts w:hint="eastAsia"/>
          <w:sz w:val="24"/>
        </w:rPr>
        <w:t>。</w:t>
      </w:r>
    </w:p>
    <w:p>
      <w:pPr>
        <w:pStyle w:val="25"/>
      </w:pPr>
      <w:r>
        <w:rPr>
          <w:rFonts w:hint="eastAsia"/>
        </w:rPr>
        <w:t>第二次公示公众意见</w:t>
      </w:r>
    </w:p>
    <w:p>
      <w:pPr>
        <w:pStyle w:val="23"/>
        <w:snapToGrid w:val="0"/>
        <w:rPr>
          <w:rFonts w:ascii="Times New Roman" w:hAnsi="Times New Roman"/>
        </w:rPr>
      </w:pPr>
      <w:r>
        <w:rPr>
          <w:rFonts w:hint="eastAsia"/>
        </w:rPr>
        <w:t>第二次公示我单位按照相关要求采取了三种方式进行公开，以求公示信息能够较为全面地覆盖项目所在地影响区域，力求广泛接收公众对于本项目建设对周围环境影响的意见。截至本次公示结束，公示期间未收到公众的反馈意见。</w:t>
      </w:r>
      <w:r>
        <w:rPr>
          <w:rFonts w:hint="eastAsia" w:ascii="Times New Roman" w:hAnsi="Times New Roman"/>
        </w:rPr>
        <w:t>项目在建设和运营期过程中，我单位将严格按照环境影响报告书以及环评批复要求对项目进行管理，力求将项目对周边环境的影响降至最低。</w:t>
      </w:r>
    </w:p>
    <w:p>
      <w:pPr>
        <w:snapToGrid w:val="0"/>
        <w:spacing w:line="360" w:lineRule="auto"/>
        <w:jc w:val="left"/>
        <w:rPr>
          <w:b/>
          <w:bCs/>
          <w:sz w:val="32"/>
          <w:szCs w:val="32"/>
        </w:rPr>
        <w:sectPr>
          <w:footerReference r:id="rId4" w:type="default"/>
          <w:pgSz w:w="11906" w:h="16838"/>
          <w:pgMar w:top="1440" w:right="1800" w:bottom="1440" w:left="1800" w:header="851" w:footer="992" w:gutter="0"/>
          <w:pgNumType w:start="1"/>
          <w:cols w:space="425" w:num="1"/>
          <w:docGrid w:type="lines" w:linePitch="312" w:charSpace="0"/>
        </w:sectPr>
      </w:pPr>
    </w:p>
    <w:p>
      <w:pPr>
        <w:jc w:val="center"/>
        <w:rPr>
          <w:b/>
          <w:bCs/>
          <w:sz w:val="24"/>
        </w:rPr>
      </w:pPr>
      <w:r>
        <w:rPr>
          <w:b/>
          <w:bCs/>
          <w:sz w:val="24"/>
        </w:rPr>
        <w:t>表3-4   建设项目环境影响评价公众意见表</w:t>
      </w:r>
    </w:p>
    <w:p>
      <w:pPr>
        <w:snapToGrid w:val="0"/>
        <w:spacing w:line="360" w:lineRule="auto"/>
        <w:jc w:val="left"/>
        <w:rPr>
          <w:b/>
          <w:sz w:val="30"/>
          <w:szCs w:val="30"/>
        </w:rPr>
      </w:pPr>
    </w:p>
    <w:p>
      <w:pPr>
        <w:snapToGrid w:val="0"/>
        <w:spacing w:line="360" w:lineRule="auto"/>
        <w:jc w:val="left"/>
        <w:rPr>
          <w:rFonts w:hint="eastAsia" w:ascii="宋体" w:hAnsi="宋体"/>
          <w:b/>
          <w:szCs w:val="21"/>
          <w:u w:val="single"/>
        </w:rPr>
      </w:pPr>
      <w:r>
        <w:rPr>
          <w:rFonts w:hint="eastAsia" w:ascii="宋体" w:hAnsi="宋体"/>
          <w:b/>
          <w:szCs w:val="21"/>
        </w:rPr>
        <w:t>填表日期：</w:t>
      </w:r>
      <w:r>
        <w:rPr>
          <w:rFonts w:hint="eastAsia" w:ascii="宋体" w:hAnsi="宋体"/>
          <w:b/>
          <w:szCs w:val="21"/>
          <w:u w:val="single"/>
        </w:rPr>
        <w:t xml:space="preserve"> </w:t>
      </w:r>
      <w:r>
        <w:rPr>
          <w:rFonts w:ascii="宋体" w:hAnsi="宋体"/>
          <w:b/>
          <w:szCs w:val="21"/>
          <w:u w:val="single"/>
        </w:rPr>
        <w:t xml:space="preserve">       </w:t>
      </w:r>
      <w:r>
        <w:rPr>
          <w:rFonts w:hint="eastAsia" w:ascii="宋体" w:hAnsi="宋体"/>
          <w:b/>
          <w:szCs w:val="21"/>
          <w:u w:val="single"/>
        </w:rPr>
        <w:t xml:space="preserve">年 </w:t>
      </w:r>
      <w:r>
        <w:rPr>
          <w:rFonts w:ascii="宋体" w:hAnsi="宋体"/>
          <w:b/>
          <w:szCs w:val="21"/>
          <w:u w:val="single"/>
        </w:rPr>
        <w:t xml:space="preserve">  </w:t>
      </w:r>
      <w:r>
        <w:rPr>
          <w:rFonts w:hint="eastAsia" w:ascii="宋体" w:hAnsi="宋体"/>
          <w:b/>
          <w:szCs w:val="21"/>
          <w:u w:val="single"/>
        </w:rPr>
        <w:t xml:space="preserve">月 </w:t>
      </w:r>
      <w:r>
        <w:rPr>
          <w:rFonts w:ascii="宋体" w:hAnsi="宋体"/>
          <w:b/>
          <w:szCs w:val="21"/>
          <w:u w:val="single"/>
        </w:rPr>
        <w:t xml:space="preserve">  </w:t>
      </w:r>
      <w:r>
        <w:rPr>
          <w:rFonts w:hint="eastAsia" w:ascii="宋体" w:hAnsi="宋体"/>
          <w:b/>
          <w:szCs w:val="21"/>
          <w:u w:val="single"/>
        </w:rPr>
        <w:t>日</w:t>
      </w:r>
    </w:p>
    <w:tbl>
      <w:tblPr>
        <w:tblStyle w:val="16"/>
        <w:tblW w:w="9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268"/>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vAlign w:val="center"/>
          </w:tcPr>
          <w:p>
            <w:pPr>
              <w:adjustRightInd w:val="0"/>
              <w:snapToGrid w:val="0"/>
              <w:jc w:val="center"/>
              <w:rPr>
                <w:szCs w:val="21"/>
              </w:rPr>
            </w:pPr>
            <w:r>
              <w:rPr>
                <w:rFonts w:hint="eastAsia"/>
                <w:szCs w:val="21"/>
              </w:rPr>
              <w:t>项目名称</w:t>
            </w:r>
          </w:p>
        </w:tc>
        <w:tc>
          <w:tcPr>
            <w:tcW w:w="7371" w:type="dxa"/>
            <w:gridSpan w:val="2"/>
            <w:vAlign w:val="center"/>
          </w:tcPr>
          <w:p>
            <w:pPr>
              <w:adjustRightInd w:val="0"/>
              <w:snapToGrid w:val="0"/>
              <w:jc w:val="center"/>
              <w:rPr>
                <w:szCs w:val="21"/>
              </w:rPr>
            </w:pPr>
            <w:r>
              <w:rPr>
                <w:rFonts w:hint="eastAsia"/>
                <w:szCs w:val="21"/>
              </w:rPr>
              <w:t>贵州金兰盛锦新材料有限公司美锦煤焦氢综合利用硝基水溶肥生产制造项目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7" w:type="dxa"/>
            <w:gridSpan w:val="3"/>
            <w:vAlign w:val="center"/>
          </w:tcPr>
          <w:p>
            <w:pPr>
              <w:adjustRightInd w:val="0"/>
              <w:snapToGrid w:val="0"/>
              <w:jc w:val="left"/>
              <w:rPr>
                <w:szCs w:val="21"/>
              </w:rPr>
            </w:pPr>
            <w:r>
              <w:rPr>
                <w:rFonts w:hint="eastAsia"/>
                <w:szCs w:val="21"/>
              </w:rPr>
              <w:t>一、本页为公众意见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vAlign w:val="center"/>
          </w:tcPr>
          <w:p>
            <w:pPr>
              <w:adjustRightInd w:val="0"/>
              <w:snapToGrid w:val="0"/>
              <w:jc w:val="left"/>
              <w:rPr>
                <w:szCs w:val="21"/>
              </w:rPr>
            </w:pPr>
            <w:r>
              <w:rPr>
                <w:rFonts w:hint="eastAsia"/>
                <w:b/>
                <w:szCs w:val="21"/>
              </w:rPr>
              <w:t>与本项目环境影响和环境保护措施有关的建议和意见</w:t>
            </w:r>
            <w:r>
              <w:rPr>
                <w:rFonts w:hint="eastAsia"/>
                <w:szCs w:val="21"/>
              </w:rPr>
              <w:t>（</w:t>
            </w:r>
            <w:r>
              <w:rPr>
                <w:rFonts w:hint="eastAsia"/>
                <w:b/>
                <w:szCs w:val="21"/>
              </w:rPr>
              <w:t>注</w:t>
            </w:r>
            <w:r>
              <w:rPr>
                <w:rFonts w:hint="eastAsia"/>
                <w:szCs w:val="21"/>
              </w:rPr>
              <w:t>：根据《</w:t>
            </w:r>
            <w:r>
              <w:rPr>
                <w:szCs w:val="21"/>
              </w:rPr>
              <w:t>环境影响评价公众参与办法》规定，涉及</w:t>
            </w:r>
            <w:r>
              <w:rPr>
                <w:b/>
                <w:szCs w:val="21"/>
              </w:rPr>
              <w:t>征地拆迁、财产、就业</w:t>
            </w:r>
            <w:r>
              <w:rPr>
                <w:szCs w:val="21"/>
              </w:rPr>
              <w:t>等与项目环评无关的意见或者诉求不属于项目环评公参内容）</w:t>
            </w:r>
          </w:p>
        </w:tc>
        <w:tc>
          <w:tcPr>
            <w:tcW w:w="7371" w:type="dxa"/>
            <w:gridSpan w:val="2"/>
            <w:vAlign w:val="center"/>
          </w:tcPr>
          <w:p>
            <w:pPr>
              <w:adjustRightInd w:val="0"/>
              <w:snapToGrid w:val="0"/>
              <w:jc w:val="left"/>
              <w:rPr>
                <w:szCs w:val="21"/>
              </w:rPr>
            </w:pPr>
          </w:p>
          <w:p>
            <w:pPr>
              <w:adjustRightInd w:val="0"/>
              <w:snapToGrid w:val="0"/>
              <w:jc w:val="left"/>
              <w:rPr>
                <w:szCs w:val="21"/>
              </w:rPr>
            </w:pPr>
          </w:p>
          <w:p>
            <w:pPr>
              <w:adjustRightInd w:val="0"/>
              <w:snapToGrid w:val="0"/>
              <w:jc w:val="left"/>
              <w:rPr>
                <w:szCs w:val="21"/>
              </w:rPr>
            </w:pPr>
          </w:p>
          <w:p>
            <w:pPr>
              <w:adjustRightInd w:val="0"/>
              <w:snapToGrid w:val="0"/>
              <w:jc w:val="left"/>
              <w:rPr>
                <w:szCs w:val="21"/>
              </w:rPr>
            </w:pPr>
          </w:p>
          <w:p>
            <w:pPr>
              <w:adjustRightInd w:val="0"/>
              <w:snapToGrid w:val="0"/>
              <w:jc w:val="left"/>
              <w:rPr>
                <w:szCs w:val="21"/>
              </w:rPr>
            </w:pPr>
          </w:p>
          <w:p>
            <w:pPr>
              <w:adjustRightInd w:val="0"/>
              <w:snapToGrid w:val="0"/>
              <w:jc w:val="left"/>
              <w:rPr>
                <w:szCs w:val="21"/>
              </w:rPr>
            </w:pPr>
          </w:p>
          <w:p>
            <w:pPr>
              <w:adjustRightInd w:val="0"/>
              <w:snapToGrid w:val="0"/>
              <w:jc w:val="left"/>
              <w:rPr>
                <w:szCs w:val="21"/>
              </w:rPr>
            </w:pPr>
          </w:p>
          <w:p>
            <w:pPr>
              <w:adjustRightInd w:val="0"/>
              <w:snapToGrid w:val="0"/>
              <w:jc w:val="left"/>
              <w:rPr>
                <w:szCs w:val="21"/>
              </w:rPr>
            </w:pPr>
          </w:p>
          <w:p>
            <w:pPr>
              <w:adjustRightInd w:val="0"/>
              <w:snapToGrid w:val="0"/>
              <w:jc w:val="left"/>
              <w:rPr>
                <w:szCs w:val="21"/>
              </w:rPr>
            </w:pPr>
          </w:p>
          <w:p>
            <w:pPr>
              <w:adjustRightInd w:val="0"/>
              <w:snapToGrid w:val="0"/>
              <w:jc w:val="left"/>
              <w:rPr>
                <w:szCs w:val="21"/>
              </w:rPr>
            </w:pPr>
          </w:p>
          <w:p>
            <w:pPr>
              <w:adjustRightInd w:val="0"/>
              <w:snapToGrid w:val="0"/>
              <w:jc w:val="left"/>
              <w:rPr>
                <w:szCs w:val="21"/>
              </w:rPr>
            </w:pPr>
          </w:p>
          <w:p>
            <w:pPr>
              <w:adjustRightInd w:val="0"/>
              <w:snapToGrid w:val="0"/>
              <w:jc w:val="left"/>
              <w:rPr>
                <w:szCs w:val="21"/>
              </w:rPr>
            </w:pPr>
          </w:p>
          <w:p>
            <w:pPr>
              <w:adjustRightInd w:val="0"/>
              <w:snapToGrid w:val="0"/>
              <w:jc w:val="left"/>
              <w:rPr>
                <w:szCs w:val="21"/>
              </w:rPr>
            </w:pPr>
          </w:p>
          <w:p>
            <w:pPr>
              <w:adjustRightInd w:val="0"/>
              <w:snapToGrid w:val="0"/>
              <w:jc w:val="left"/>
              <w:rPr>
                <w:szCs w:val="21"/>
              </w:rPr>
            </w:pPr>
          </w:p>
          <w:p>
            <w:pPr>
              <w:adjustRightInd w:val="0"/>
              <w:snapToGrid w:val="0"/>
              <w:jc w:val="left"/>
              <w:rPr>
                <w:szCs w:val="21"/>
              </w:rPr>
            </w:pPr>
          </w:p>
          <w:p>
            <w:pPr>
              <w:adjustRightInd w:val="0"/>
              <w:snapToGrid w:val="0"/>
              <w:jc w:val="left"/>
              <w:rPr>
                <w:szCs w:val="21"/>
              </w:rPr>
            </w:pPr>
          </w:p>
          <w:p>
            <w:pPr>
              <w:adjustRightInd w:val="0"/>
              <w:snapToGrid w:val="0"/>
              <w:jc w:val="left"/>
              <w:rPr>
                <w:szCs w:val="21"/>
              </w:rPr>
            </w:pPr>
          </w:p>
          <w:p>
            <w:pPr>
              <w:adjustRightInd w:val="0"/>
              <w:snapToGrid w:val="0"/>
              <w:spacing w:after="156" w:afterLines="50"/>
              <w:jc w:val="left"/>
              <w:rPr>
                <w:szCs w:val="21"/>
              </w:rPr>
            </w:pPr>
            <w:r>
              <w:rPr>
                <w:szCs w:val="21"/>
              </w:rPr>
              <w:t>（填写该项内容时请勿涉及国家秘密、商业秘密、个人隐私等内容，若本页不够可另附页）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7" w:type="dxa"/>
            <w:gridSpan w:val="3"/>
            <w:vAlign w:val="center"/>
          </w:tcPr>
          <w:p>
            <w:pPr>
              <w:adjustRightInd w:val="0"/>
              <w:snapToGrid w:val="0"/>
              <w:jc w:val="left"/>
              <w:rPr>
                <w:szCs w:val="21"/>
              </w:rPr>
            </w:pPr>
            <w:r>
              <w:rPr>
                <w:szCs w:val="21"/>
              </w:rPr>
              <w:t>二、本页为公众信息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7" w:type="dxa"/>
            <w:gridSpan w:val="3"/>
            <w:vAlign w:val="center"/>
          </w:tcPr>
          <w:p>
            <w:pPr>
              <w:adjustRightInd w:val="0"/>
              <w:snapToGrid w:val="0"/>
              <w:jc w:val="left"/>
              <w:rPr>
                <w:b/>
                <w:szCs w:val="21"/>
              </w:rPr>
            </w:pPr>
            <w:r>
              <w:rPr>
                <w:b/>
                <w:szCs w:val="21"/>
              </w:rPr>
              <w:t>（一</w:t>
            </w:r>
            <w:r>
              <w:rPr>
                <w:rFonts w:hint="eastAsia"/>
                <w:b/>
                <w:szCs w:val="21"/>
              </w:rPr>
              <w:t>）公众为公民的请填写以下信息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64" w:type="dxa"/>
            <w:gridSpan w:val="2"/>
            <w:vAlign w:val="center"/>
          </w:tcPr>
          <w:p>
            <w:pPr>
              <w:adjustRightInd w:val="0"/>
              <w:snapToGrid w:val="0"/>
              <w:jc w:val="center"/>
              <w:rPr>
                <w:b/>
                <w:szCs w:val="21"/>
              </w:rPr>
            </w:pPr>
            <w:r>
              <w:rPr>
                <w:rFonts w:hint="eastAsia"/>
                <w:b/>
                <w:szCs w:val="21"/>
              </w:rPr>
              <w:t xml:space="preserve">姓 </w:t>
            </w:r>
            <w:r>
              <w:rPr>
                <w:b/>
                <w:szCs w:val="21"/>
              </w:rPr>
              <w:t xml:space="preserve">  </w:t>
            </w:r>
            <w:r>
              <w:rPr>
                <w:rFonts w:hint="eastAsia"/>
                <w:b/>
                <w:szCs w:val="21"/>
              </w:rPr>
              <w:t>名</w:t>
            </w:r>
          </w:p>
        </w:tc>
        <w:tc>
          <w:tcPr>
            <w:tcW w:w="5103" w:type="dxa"/>
            <w:vAlign w:val="center"/>
          </w:tcPr>
          <w:p>
            <w:pPr>
              <w:adjustRightInd w:val="0"/>
              <w:snapToGrid w:val="0"/>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64" w:type="dxa"/>
            <w:gridSpan w:val="2"/>
            <w:vAlign w:val="center"/>
          </w:tcPr>
          <w:p>
            <w:pPr>
              <w:adjustRightInd w:val="0"/>
              <w:snapToGrid w:val="0"/>
              <w:jc w:val="center"/>
              <w:rPr>
                <w:b/>
                <w:szCs w:val="21"/>
              </w:rPr>
            </w:pPr>
            <w:r>
              <w:rPr>
                <w:rFonts w:hint="eastAsia"/>
                <w:b/>
                <w:szCs w:val="21"/>
              </w:rPr>
              <w:t>身份证号</w:t>
            </w:r>
          </w:p>
        </w:tc>
        <w:tc>
          <w:tcPr>
            <w:tcW w:w="5103" w:type="dxa"/>
            <w:vAlign w:val="center"/>
          </w:tcPr>
          <w:p>
            <w:pPr>
              <w:adjustRightInd w:val="0"/>
              <w:snapToGrid w:val="0"/>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64" w:type="dxa"/>
            <w:gridSpan w:val="2"/>
            <w:vAlign w:val="center"/>
          </w:tcPr>
          <w:p>
            <w:pPr>
              <w:adjustRightInd w:val="0"/>
              <w:snapToGrid w:val="0"/>
              <w:jc w:val="center"/>
              <w:rPr>
                <w:b/>
                <w:szCs w:val="21"/>
              </w:rPr>
            </w:pPr>
            <w:r>
              <w:rPr>
                <w:rFonts w:hint="eastAsia"/>
                <w:b/>
                <w:szCs w:val="21"/>
              </w:rPr>
              <w:t>有效联系方式</w:t>
            </w:r>
          </w:p>
          <w:p>
            <w:pPr>
              <w:adjustRightInd w:val="0"/>
              <w:snapToGrid w:val="0"/>
              <w:jc w:val="center"/>
              <w:rPr>
                <w:szCs w:val="21"/>
              </w:rPr>
            </w:pPr>
            <w:r>
              <w:rPr>
                <w:rFonts w:hint="eastAsia"/>
                <w:szCs w:val="21"/>
              </w:rPr>
              <w:t>（电话号码或邮箱）</w:t>
            </w:r>
          </w:p>
        </w:tc>
        <w:tc>
          <w:tcPr>
            <w:tcW w:w="5103" w:type="dxa"/>
            <w:vAlign w:val="center"/>
          </w:tcPr>
          <w:p>
            <w:pPr>
              <w:adjustRightInd w:val="0"/>
              <w:snapToGrid w:val="0"/>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64" w:type="dxa"/>
            <w:gridSpan w:val="2"/>
            <w:vAlign w:val="center"/>
          </w:tcPr>
          <w:p>
            <w:pPr>
              <w:adjustRightInd w:val="0"/>
              <w:snapToGrid w:val="0"/>
              <w:jc w:val="center"/>
              <w:rPr>
                <w:b/>
                <w:szCs w:val="21"/>
              </w:rPr>
            </w:pPr>
            <w:r>
              <w:rPr>
                <w:rFonts w:hint="eastAsia"/>
                <w:b/>
                <w:szCs w:val="21"/>
              </w:rPr>
              <w:t>经常居住地址</w:t>
            </w:r>
          </w:p>
        </w:tc>
        <w:tc>
          <w:tcPr>
            <w:tcW w:w="5103" w:type="dxa"/>
            <w:vAlign w:val="center"/>
          </w:tcPr>
          <w:p>
            <w:pPr>
              <w:adjustRightInd w:val="0"/>
              <w:snapToGrid w:val="0"/>
              <w:ind w:left="420" w:hanging="420" w:hangingChars="200"/>
              <w:jc w:val="left"/>
              <w:rPr>
                <w:szCs w:val="21"/>
              </w:rPr>
            </w:pPr>
            <w:r>
              <w:rPr>
                <w:rFonts w:hint="eastAsia"/>
                <w:szCs w:val="21"/>
              </w:rPr>
              <w:t xml:space="preserve"> </w:t>
            </w:r>
            <w:r>
              <w:rPr>
                <w:szCs w:val="21"/>
              </w:rPr>
              <w:t xml:space="preserve">   </w:t>
            </w:r>
            <w:r>
              <w:rPr>
                <w:rFonts w:hint="eastAsia"/>
                <w:szCs w:val="21"/>
              </w:rPr>
              <w:t xml:space="preserve">省 </w:t>
            </w:r>
            <w:r>
              <w:rPr>
                <w:szCs w:val="21"/>
              </w:rPr>
              <w:t xml:space="preserve">   </w:t>
            </w:r>
            <w:r>
              <w:rPr>
                <w:rFonts w:hint="eastAsia"/>
                <w:szCs w:val="21"/>
              </w:rPr>
              <w:t xml:space="preserve">市 </w:t>
            </w:r>
            <w:r>
              <w:rPr>
                <w:szCs w:val="21"/>
              </w:rPr>
              <w:t xml:space="preserve">   </w:t>
            </w:r>
            <w:r>
              <w:rPr>
                <w:rFonts w:hint="eastAsia"/>
                <w:szCs w:val="21"/>
              </w:rPr>
              <w:t xml:space="preserve">县（区、市） </w:t>
            </w:r>
            <w:r>
              <w:rPr>
                <w:szCs w:val="21"/>
              </w:rPr>
              <w:t xml:space="preserve">  </w:t>
            </w:r>
            <w:r>
              <w:rPr>
                <w:rFonts w:hint="eastAsia"/>
                <w:szCs w:val="21"/>
              </w:rPr>
              <w:t xml:space="preserve">乡（镇、街道） </w:t>
            </w:r>
            <w:r>
              <w:rPr>
                <w:szCs w:val="21"/>
              </w:rPr>
              <w:t xml:space="preserve"> </w:t>
            </w:r>
            <w:r>
              <w:rPr>
                <w:rFonts w:hint="eastAsia"/>
                <w:szCs w:val="21"/>
              </w:rPr>
              <w:t xml:space="preserve">村（居委会） </w:t>
            </w:r>
            <w:r>
              <w:rPr>
                <w:szCs w:val="21"/>
              </w:rPr>
              <w:t xml:space="preserve">   </w:t>
            </w:r>
            <w:r>
              <w:rPr>
                <w:rFonts w:hint="eastAsia"/>
                <w:szCs w:val="21"/>
              </w:rPr>
              <w:t>村民组（小区）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64" w:type="dxa"/>
            <w:gridSpan w:val="2"/>
            <w:vAlign w:val="center"/>
          </w:tcPr>
          <w:p>
            <w:pPr>
              <w:adjustRightInd w:val="0"/>
              <w:snapToGrid w:val="0"/>
              <w:jc w:val="center"/>
              <w:rPr>
                <w:b/>
                <w:szCs w:val="21"/>
              </w:rPr>
            </w:pPr>
            <w:r>
              <w:rPr>
                <w:rFonts w:hint="eastAsia"/>
                <w:b/>
                <w:szCs w:val="21"/>
              </w:rPr>
              <w:t>是否同意公开个人信息</w:t>
            </w:r>
          </w:p>
          <w:p>
            <w:pPr>
              <w:adjustRightInd w:val="0"/>
              <w:snapToGrid w:val="0"/>
              <w:jc w:val="center"/>
              <w:rPr>
                <w:szCs w:val="21"/>
              </w:rPr>
            </w:pPr>
            <w:r>
              <w:rPr>
                <w:rFonts w:hint="eastAsia"/>
                <w:szCs w:val="21"/>
              </w:rPr>
              <w:t>（填同意或不同意）</w:t>
            </w:r>
          </w:p>
        </w:tc>
        <w:tc>
          <w:tcPr>
            <w:tcW w:w="5103" w:type="dxa"/>
            <w:vAlign w:val="center"/>
          </w:tcPr>
          <w:p>
            <w:pPr>
              <w:adjustRightInd w:val="0"/>
              <w:snapToGrid w:val="0"/>
              <w:ind w:left="420" w:hanging="420" w:hangingChars="200"/>
              <w:jc w:val="left"/>
              <w:rPr>
                <w:szCs w:val="21"/>
              </w:rPr>
            </w:pPr>
          </w:p>
          <w:p>
            <w:pPr>
              <w:adjustRightInd w:val="0"/>
              <w:snapToGrid w:val="0"/>
              <w:ind w:left="420" w:hanging="420" w:hangingChars="200"/>
              <w:jc w:val="left"/>
              <w:rPr>
                <w:szCs w:val="21"/>
              </w:rPr>
            </w:pPr>
          </w:p>
          <w:p>
            <w:pPr>
              <w:adjustRightInd w:val="0"/>
              <w:snapToGrid w:val="0"/>
              <w:ind w:left="420" w:hanging="420" w:hangingChars="200"/>
              <w:jc w:val="left"/>
              <w:rPr>
                <w:szCs w:val="21"/>
              </w:rPr>
            </w:pPr>
          </w:p>
          <w:p>
            <w:pPr>
              <w:adjustRightInd w:val="0"/>
              <w:snapToGrid w:val="0"/>
              <w:ind w:left="420" w:hanging="420" w:hangingChars="200"/>
              <w:jc w:val="left"/>
              <w:rPr>
                <w:szCs w:val="21"/>
              </w:rPr>
            </w:pPr>
            <w:r>
              <w:rPr>
                <w:rFonts w:hint="eastAsia"/>
                <w:szCs w:val="21"/>
              </w:rPr>
              <w:t>（若不填则默认为不同意公开）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7" w:type="dxa"/>
            <w:gridSpan w:val="3"/>
            <w:vAlign w:val="center"/>
          </w:tcPr>
          <w:p>
            <w:pPr>
              <w:adjustRightInd w:val="0"/>
              <w:snapToGrid w:val="0"/>
              <w:ind w:left="422" w:hanging="422" w:hangingChars="200"/>
              <w:jc w:val="left"/>
              <w:rPr>
                <w:b/>
                <w:szCs w:val="21"/>
              </w:rPr>
            </w:pPr>
            <w:r>
              <w:rPr>
                <w:rFonts w:hint="eastAsia"/>
                <w:b/>
                <w:szCs w:val="21"/>
              </w:rPr>
              <w:t>（二）公众为法人或其他组织的请填写以下信息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64" w:type="dxa"/>
            <w:gridSpan w:val="2"/>
            <w:vAlign w:val="center"/>
          </w:tcPr>
          <w:p>
            <w:pPr>
              <w:adjustRightInd w:val="0"/>
              <w:snapToGrid w:val="0"/>
              <w:jc w:val="center"/>
              <w:rPr>
                <w:b/>
                <w:szCs w:val="21"/>
              </w:rPr>
            </w:pPr>
            <w:r>
              <w:rPr>
                <w:rFonts w:hint="eastAsia"/>
                <w:b/>
                <w:szCs w:val="21"/>
              </w:rPr>
              <w:t>单位名称</w:t>
            </w:r>
          </w:p>
        </w:tc>
        <w:tc>
          <w:tcPr>
            <w:tcW w:w="5103" w:type="dxa"/>
            <w:vAlign w:val="center"/>
          </w:tcPr>
          <w:p>
            <w:pPr>
              <w:adjustRightInd w:val="0"/>
              <w:snapToGrid w:val="0"/>
              <w:ind w:left="420" w:hanging="420" w:hangingChars="200"/>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64" w:type="dxa"/>
            <w:gridSpan w:val="2"/>
            <w:vAlign w:val="center"/>
          </w:tcPr>
          <w:p>
            <w:pPr>
              <w:adjustRightInd w:val="0"/>
              <w:snapToGrid w:val="0"/>
              <w:jc w:val="center"/>
              <w:rPr>
                <w:b/>
                <w:szCs w:val="21"/>
              </w:rPr>
            </w:pPr>
            <w:r>
              <w:rPr>
                <w:rFonts w:hint="eastAsia"/>
                <w:b/>
                <w:szCs w:val="21"/>
              </w:rPr>
              <w:t>工商注册号或统一社会信用代码</w:t>
            </w:r>
          </w:p>
        </w:tc>
        <w:tc>
          <w:tcPr>
            <w:tcW w:w="5103" w:type="dxa"/>
            <w:vAlign w:val="center"/>
          </w:tcPr>
          <w:p>
            <w:pPr>
              <w:adjustRightInd w:val="0"/>
              <w:snapToGrid w:val="0"/>
              <w:ind w:left="420" w:hanging="420" w:hangingChars="200"/>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64" w:type="dxa"/>
            <w:gridSpan w:val="2"/>
            <w:vAlign w:val="center"/>
          </w:tcPr>
          <w:p>
            <w:pPr>
              <w:adjustRightInd w:val="0"/>
              <w:snapToGrid w:val="0"/>
              <w:jc w:val="center"/>
              <w:rPr>
                <w:b/>
                <w:szCs w:val="21"/>
              </w:rPr>
            </w:pPr>
            <w:r>
              <w:rPr>
                <w:rFonts w:hint="eastAsia"/>
                <w:b/>
                <w:szCs w:val="21"/>
              </w:rPr>
              <w:t>有效联系方式</w:t>
            </w:r>
          </w:p>
          <w:p>
            <w:pPr>
              <w:adjustRightInd w:val="0"/>
              <w:snapToGrid w:val="0"/>
              <w:jc w:val="center"/>
              <w:rPr>
                <w:b/>
                <w:szCs w:val="21"/>
              </w:rPr>
            </w:pPr>
            <w:r>
              <w:rPr>
                <w:rFonts w:hint="eastAsia"/>
                <w:szCs w:val="21"/>
              </w:rPr>
              <w:t>（电话号码或邮箱）</w:t>
            </w:r>
          </w:p>
        </w:tc>
        <w:tc>
          <w:tcPr>
            <w:tcW w:w="5103" w:type="dxa"/>
            <w:vAlign w:val="center"/>
          </w:tcPr>
          <w:p>
            <w:pPr>
              <w:adjustRightInd w:val="0"/>
              <w:snapToGrid w:val="0"/>
              <w:ind w:left="420" w:hanging="420" w:hangingChars="200"/>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64" w:type="dxa"/>
            <w:gridSpan w:val="2"/>
            <w:vAlign w:val="center"/>
          </w:tcPr>
          <w:p>
            <w:pPr>
              <w:adjustRightInd w:val="0"/>
              <w:snapToGrid w:val="0"/>
              <w:jc w:val="center"/>
              <w:rPr>
                <w:b/>
                <w:szCs w:val="21"/>
              </w:rPr>
            </w:pPr>
            <w:r>
              <w:rPr>
                <w:rFonts w:hint="eastAsia"/>
                <w:b/>
                <w:szCs w:val="21"/>
              </w:rPr>
              <w:t xml:space="preserve">地 </w:t>
            </w:r>
            <w:r>
              <w:rPr>
                <w:b/>
                <w:szCs w:val="21"/>
              </w:rPr>
              <w:t xml:space="preserve">   </w:t>
            </w:r>
            <w:r>
              <w:rPr>
                <w:rFonts w:hint="eastAsia"/>
                <w:b/>
                <w:szCs w:val="21"/>
              </w:rPr>
              <w:t>址</w:t>
            </w:r>
          </w:p>
        </w:tc>
        <w:tc>
          <w:tcPr>
            <w:tcW w:w="5103" w:type="dxa"/>
            <w:vAlign w:val="center"/>
          </w:tcPr>
          <w:p>
            <w:pPr>
              <w:adjustRightInd w:val="0"/>
              <w:snapToGrid w:val="0"/>
              <w:ind w:left="420" w:leftChars="200"/>
              <w:jc w:val="left"/>
              <w:rPr>
                <w:szCs w:val="21"/>
              </w:rPr>
            </w:pPr>
            <w:r>
              <w:rPr>
                <w:rFonts w:hint="eastAsia"/>
                <w:szCs w:val="21"/>
              </w:rPr>
              <w:t xml:space="preserve">省 </w:t>
            </w:r>
            <w:r>
              <w:rPr>
                <w:szCs w:val="21"/>
              </w:rPr>
              <w:t xml:space="preserve">   </w:t>
            </w:r>
            <w:r>
              <w:rPr>
                <w:rFonts w:hint="eastAsia"/>
                <w:szCs w:val="21"/>
              </w:rPr>
              <w:t xml:space="preserve">市 </w:t>
            </w:r>
            <w:r>
              <w:rPr>
                <w:szCs w:val="21"/>
              </w:rPr>
              <w:t xml:space="preserve">   </w:t>
            </w:r>
            <w:r>
              <w:rPr>
                <w:rFonts w:hint="eastAsia"/>
                <w:szCs w:val="21"/>
              </w:rPr>
              <w:t xml:space="preserve">县（区、市） </w:t>
            </w:r>
            <w:r>
              <w:rPr>
                <w:szCs w:val="21"/>
              </w:rPr>
              <w:t xml:space="preserve">  </w:t>
            </w:r>
            <w:r>
              <w:rPr>
                <w:rFonts w:hint="eastAsia"/>
                <w:szCs w:val="21"/>
              </w:rPr>
              <w:t xml:space="preserve">乡（镇、街道） </w:t>
            </w:r>
            <w:r>
              <w:rPr>
                <w:szCs w:val="21"/>
              </w:rPr>
              <w:t xml:space="preserve"> </w:t>
            </w:r>
            <w:r>
              <w:rPr>
                <w:rFonts w:hint="eastAsia"/>
                <w:szCs w:val="21"/>
              </w:rPr>
              <w:t xml:space="preserve">路 </w:t>
            </w:r>
            <w:r>
              <w:rPr>
                <w:szCs w:val="21"/>
              </w:rPr>
              <w:t xml:space="preserve">   </w:t>
            </w:r>
            <w:r>
              <w:rPr>
                <w:rFonts w:hint="eastAsia"/>
                <w:szCs w:val="21"/>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7" w:type="dxa"/>
            <w:gridSpan w:val="3"/>
            <w:vAlign w:val="center"/>
          </w:tcPr>
          <w:p>
            <w:pPr>
              <w:adjustRightInd w:val="0"/>
              <w:snapToGrid w:val="0"/>
              <w:jc w:val="left"/>
              <w:rPr>
                <w:szCs w:val="21"/>
              </w:rPr>
            </w:pPr>
          </w:p>
          <w:p>
            <w:pPr>
              <w:adjustRightInd w:val="0"/>
              <w:snapToGrid w:val="0"/>
              <w:jc w:val="left"/>
              <w:rPr>
                <w:szCs w:val="21"/>
              </w:rPr>
            </w:pPr>
          </w:p>
          <w:p>
            <w:pPr>
              <w:adjustRightInd w:val="0"/>
              <w:snapToGrid w:val="0"/>
              <w:jc w:val="left"/>
              <w:rPr>
                <w:szCs w:val="21"/>
              </w:rPr>
            </w:pPr>
          </w:p>
          <w:p>
            <w:pPr>
              <w:adjustRightInd w:val="0"/>
              <w:snapToGrid w:val="0"/>
              <w:jc w:val="left"/>
              <w:rPr>
                <w:szCs w:val="21"/>
              </w:rPr>
            </w:pPr>
          </w:p>
          <w:p>
            <w:pPr>
              <w:adjustRightInd w:val="0"/>
              <w:snapToGrid w:val="0"/>
              <w:jc w:val="left"/>
              <w:rPr>
                <w:szCs w:val="21"/>
              </w:rPr>
            </w:pPr>
            <w:r>
              <w:rPr>
                <w:rFonts w:hint="eastAsia"/>
                <w:szCs w:val="21"/>
              </w:rPr>
              <w:t>注：法人或其他组织信息原则上可以公开，若涉及不能公开的信息请在此栏中注明法律依据和不能公开的具体信息。</w:t>
            </w:r>
          </w:p>
        </w:tc>
      </w:tr>
    </w:tbl>
    <w:p>
      <w:pPr>
        <w:jc w:val="center"/>
        <w:rPr>
          <w:b/>
          <w:bCs/>
          <w:sz w:val="24"/>
        </w:rPr>
      </w:pPr>
    </w:p>
    <w:p>
      <w:pPr>
        <w:pStyle w:val="2"/>
        <w:snapToGrid w:val="0"/>
        <w:rPr>
          <w:sz w:val="28"/>
          <w:szCs w:val="28"/>
        </w:rPr>
      </w:pPr>
      <w:bookmarkStart w:id="11" w:name="_Toc207274032"/>
      <w:r>
        <w:rPr>
          <w:rFonts w:hint="eastAsia"/>
          <w:sz w:val="28"/>
          <w:szCs w:val="28"/>
        </w:rPr>
        <w:t>其他公众参与情况</w:t>
      </w:r>
      <w:bookmarkEnd w:id="11"/>
    </w:p>
    <w:p>
      <w:pPr>
        <w:pStyle w:val="3"/>
        <w:tabs>
          <w:tab w:val="clear" w:pos="432"/>
        </w:tabs>
        <w:snapToGrid w:val="0"/>
        <w:rPr>
          <w:sz w:val="24"/>
          <w:szCs w:val="24"/>
        </w:rPr>
      </w:pPr>
      <w:bookmarkStart w:id="12" w:name="_Toc207274033"/>
      <w:r>
        <w:rPr>
          <w:rFonts w:hint="eastAsia"/>
          <w:sz w:val="24"/>
          <w:szCs w:val="24"/>
        </w:rPr>
        <w:t>调查范围与对象</w:t>
      </w:r>
      <w:bookmarkEnd w:id="12"/>
    </w:p>
    <w:p>
      <w:pPr>
        <w:snapToGrid w:val="0"/>
        <w:spacing w:line="360" w:lineRule="auto"/>
        <w:ind w:firstLine="480" w:firstLineChars="200"/>
        <w:rPr>
          <w:sz w:val="24"/>
        </w:rPr>
      </w:pPr>
      <w:r>
        <w:rPr>
          <w:rFonts w:hint="eastAsia"/>
          <w:sz w:val="24"/>
        </w:rPr>
        <w:t>2025年6月~7月，我公司对周边区域个人及团体进行了一期环境影响评价公众参与调查，调查方式为发放问卷，调查对象主要为长期居住和工作在项目区域周边的个人和团体，对调查对象实进行随机调查。</w:t>
      </w:r>
    </w:p>
    <w:p>
      <w:pPr>
        <w:pStyle w:val="3"/>
        <w:tabs>
          <w:tab w:val="clear" w:pos="432"/>
        </w:tabs>
        <w:snapToGrid w:val="0"/>
        <w:rPr>
          <w:sz w:val="24"/>
        </w:rPr>
      </w:pPr>
      <w:bookmarkStart w:id="13" w:name="_Toc207274034"/>
      <w:r>
        <w:rPr>
          <w:rFonts w:hint="eastAsia"/>
          <w:sz w:val="24"/>
          <w:szCs w:val="24"/>
        </w:rPr>
        <w:t>调查内容</w:t>
      </w:r>
      <w:bookmarkEnd w:id="13"/>
    </w:p>
    <w:p>
      <w:pPr>
        <w:snapToGrid w:val="0"/>
        <w:spacing w:line="360" w:lineRule="auto"/>
        <w:ind w:firstLine="480" w:firstLineChars="200"/>
        <w:rPr>
          <w:sz w:val="24"/>
        </w:rPr>
      </w:pPr>
      <w:r>
        <w:rPr>
          <w:rFonts w:hint="eastAsia"/>
          <w:sz w:val="24"/>
        </w:rPr>
        <w:t>向周边公众发放《建设项目环境影响评价公众意见表》（见表3-4）进行调查，广泛听取个人及周边团体对本项目区大气环境、水环境、噪声、生态环境等信息反馈意见，汇总分析公众意见，针对公众比较关心的部分进行沟通，或在环评工作中予以解决。最后形成公众意见反馈给建设单位。</w:t>
      </w:r>
    </w:p>
    <w:p>
      <w:pPr>
        <w:widowControl/>
        <w:jc w:val="left"/>
        <w:rPr>
          <w:sz w:val="24"/>
        </w:rPr>
      </w:pPr>
      <w:r>
        <w:rPr>
          <w:sz w:val="24"/>
        </w:rPr>
        <w:br w:type="page"/>
      </w:r>
    </w:p>
    <w:p>
      <w:pPr>
        <w:pStyle w:val="3"/>
        <w:tabs>
          <w:tab w:val="clear" w:pos="432"/>
        </w:tabs>
        <w:snapToGrid w:val="0"/>
        <w:rPr>
          <w:sz w:val="24"/>
          <w:szCs w:val="24"/>
        </w:rPr>
      </w:pPr>
      <w:bookmarkStart w:id="14" w:name="_Toc207274035"/>
      <w:r>
        <w:rPr>
          <w:rFonts w:hint="eastAsia"/>
          <w:sz w:val="24"/>
          <w:szCs w:val="24"/>
        </w:rPr>
        <w:t>调查结果分析</w:t>
      </w:r>
      <w:bookmarkEnd w:id="14"/>
    </w:p>
    <w:p>
      <w:pPr>
        <w:snapToGrid w:val="0"/>
        <w:spacing w:line="360" w:lineRule="auto"/>
        <w:ind w:firstLine="480" w:firstLineChars="200"/>
        <w:rPr>
          <w:sz w:val="24"/>
        </w:rPr>
      </w:pPr>
      <w:r>
        <w:rPr>
          <w:rFonts w:hint="eastAsia"/>
          <w:sz w:val="24"/>
        </w:rPr>
        <w:t>本次公众参与调查一共发放个人公众参与调查表53份，收53份，回收率为100%；一共发放团体公众参与调查表6份，收回6份，回收率为100%。</w:t>
      </w:r>
    </w:p>
    <w:p>
      <w:pPr>
        <w:snapToGrid w:val="0"/>
        <w:spacing w:line="360" w:lineRule="auto"/>
        <w:ind w:firstLine="480" w:firstLineChars="200"/>
        <w:rPr>
          <w:sz w:val="24"/>
        </w:rPr>
      </w:pPr>
      <w:r>
        <w:rPr>
          <w:rFonts w:hint="eastAsia"/>
          <w:sz w:val="24"/>
        </w:rPr>
        <w:t>个人及团体关系方式见表4-1、4-2。</w:t>
      </w:r>
    </w:p>
    <w:p>
      <w:pPr>
        <w:snapToGrid w:val="0"/>
        <w:spacing w:line="360" w:lineRule="auto"/>
        <w:ind w:firstLine="422" w:firstLineChars="200"/>
        <w:jc w:val="center"/>
        <w:rPr>
          <w:b/>
          <w:bCs/>
          <w:szCs w:val="21"/>
        </w:rPr>
      </w:pPr>
      <w:r>
        <w:rPr>
          <w:rFonts w:hint="eastAsia"/>
          <w:b/>
          <w:bCs/>
          <w:szCs w:val="21"/>
        </w:rPr>
        <w:t>表4-1   公众参与个人联系方式统计表</w:t>
      </w:r>
    </w:p>
    <w:tbl>
      <w:tblPr>
        <w:tblStyle w:val="16"/>
        <w:tblW w:w="45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555" w:type="dxa"/>
          </w:tcPr>
          <w:p>
            <w:pPr>
              <w:adjustRightInd w:val="0"/>
              <w:snapToGrid w:val="0"/>
              <w:jc w:val="center"/>
              <w:rPr>
                <w:szCs w:val="21"/>
              </w:rPr>
            </w:pPr>
            <w:r>
              <w:rPr>
                <w:rFonts w:hint="eastAsia"/>
                <w:szCs w:val="21"/>
              </w:rPr>
              <w:t>序号</w:t>
            </w:r>
          </w:p>
        </w:tc>
        <w:tc>
          <w:tcPr>
            <w:tcW w:w="2976" w:type="dxa"/>
          </w:tcPr>
          <w:p>
            <w:pPr>
              <w:adjustRightInd w:val="0"/>
              <w:snapToGrid w:val="0"/>
              <w:jc w:val="center"/>
              <w:rPr>
                <w:szCs w:val="21"/>
              </w:rPr>
            </w:pPr>
            <w:r>
              <w:rPr>
                <w:rFonts w:hint="eastAsia"/>
                <w:szCs w:val="21"/>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1</w:t>
            </w:r>
          </w:p>
        </w:tc>
        <w:tc>
          <w:tcPr>
            <w:tcW w:w="2976" w:type="dxa"/>
          </w:tcPr>
          <w:p>
            <w:pPr>
              <w:adjustRightInd w:val="0"/>
              <w:snapToGrid w:val="0"/>
              <w:jc w:val="center"/>
              <w:rPr>
                <w:szCs w:val="21"/>
              </w:rPr>
            </w:pPr>
            <w:r>
              <w:rPr>
                <w:rFonts w:hint="eastAsia"/>
                <w:szCs w:val="21"/>
              </w:rPr>
              <w:t>俞忠祥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2</w:t>
            </w:r>
          </w:p>
        </w:tc>
        <w:tc>
          <w:tcPr>
            <w:tcW w:w="2976" w:type="dxa"/>
          </w:tcPr>
          <w:p>
            <w:pPr>
              <w:adjustRightInd w:val="0"/>
              <w:snapToGrid w:val="0"/>
              <w:jc w:val="center"/>
              <w:rPr>
                <w:szCs w:val="21"/>
              </w:rPr>
            </w:pPr>
            <w:r>
              <w:rPr>
                <w:rFonts w:hint="eastAsia"/>
                <w:szCs w:val="21"/>
              </w:rPr>
              <w:t>陈付作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3</w:t>
            </w:r>
          </w:p>
        </w:tc>
        <w:tc>
          <w:tcPr>
            <w:tcW w:w="2976" w:type="dxa"/>
          </w:tcPr>
          <w:p>
            <w:pPr>
              <w:adjustRightInd w:val="0"/>
              <w:snapToGrid w:val="0"/>
              <w:jc w:val="center"/>
              <w:rPr>
                <w:szCs w:val="21"/>
              </w:rPr>
            </w:pPr>
            <w:r>
              <w:rPr>
                <w:rFonts w:hint="eastAsia"/>
                <w:szCs w:val="21"/>
              </w:rPr>
              <w:t>俞元友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4</w:t>
            </w:r>
          </w:p>
        </w:tc>
        <w:tc>
          <w:tcPr>
            <w:tcW w:w="2976" w:type="dxa"/>
          </w:tcPr>
          <w:p>
            <w:pPr>
              <w:adjustRightInd w:val="0"/>
              <w:snapToGrid w:val="0"/>
              <w:jc w:val="center"/>
              <w:rPr>
                <w:szCs w:val="21"/>
              </w:rPr>
            </w:pPr>
            <w:r>
              <w:rPr>
                <w:rFonts w:hint="eastAsia"/>
                <w:szCs w:val="21"/>
              </w:rPr>
              <w:t>俞忠贤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5</w:t>
            </w:r>
          </w:p>
        </w:tc>
        <w:tc>
          <w:tcPr>
            <w:tcW w:w="2976" w:type="dxa"/>
          </w:tcPr>
          <w:p>
            <w:pPr>
              <w:adjustRightInd w:val="0"/>
              <w:snapToGrid w:val="0"/>
              <w:jc w:val="center"/>
              <w:rPr>
                <w:szCs w:val="21"/>
              </w:rPr>
            </w:pPr>
            <w:r>
              <w:rPr>
                <w:rFonts w:hint="eastAsia"/>
                <w:szCs w:val="21"/>
              </w:rPr>
              <w:t>何成盛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6</w:t>
            </w:r>
          </w:p>
        </w:tc>
        <w:tc>
          <w:tcPr>
            <w:tcW w:w="2976" w:type="dxa"/>
          </w:tcPr>
          <w:p>
            <w:pPr>
              <w:adjustRightInd w:val="0"/>
              <w:snapToGrid w:val="0"/>
              <w:jc w:val="center"/>
              <w:rPr>
                <w:szCs w:val="21"/>
              </w:rPr>
            </w:pPr>
            <w:r>
              <w:rPr>
                <w:rFonts w:hint="eastAsia"/>
                <w:szCs w:val="21"/>
              </w:rPr>
              <w:t>严敏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7</w:t>
            </w:r>
          </w:p>
        </w:tc>
        <w:tc>
          <w:tcPr>
            <w:tcW w:w="2976" w:type="dxa"/>
          </w:tcPr>
          <w:p>
            <w:pPr>
              <w:adjustRightInd w:val="0"/>
              <w:snapToGrid w:val="0"/>
              <w:jc w:val="center"/>
              <w:rPr>
                <w:szCs w:val="21"/>
              </w:rPr>
            </w:pPr>
            <w:r>
              <w:rPr>
                <w:rFonts w:hint="eastAsia"/>
                <w:szCs w:val="21"/>
              </w:rPr>
              <w:t>杨达福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8</w:t>
            </w:r>
          </w:p>
        </w:tc>
        <w:tc>
          <w:tcPr>
            <w:tcW w:w="2976" w:type="dxa"/>
          </w:tcPr>
          <w:p>
            <w:pPr>
              <w:adjustRightInd w:val="0"/>
              <w:snapToGrid w:val="0"/>
              <w:jc w:val="center"/>
              <w:rPr>
                <w:szCs w:val="21"/>
              </w:rPr>
            </w:pPr>
            <w:r>
              <w:rPr>
                <w:rFonts w:hint="eastAsia"/>
                <w:szCs w:val="21"/>
              </w:rPr>
              <w:t>钱洪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9</w:t>
            </w:r>
          </w:p>
        </w:tc>
        <w:tc>
          <w:tcPr>
            <w:tcW w:w="2976" w:type="dxa"/>
          </w:tcPr>
          <w:p>
            <w:pPr>
              <w:adjustRightInd w:val="0"/>
              <w:snapToGrid w:val="0"/>
              <w:jc w:val="center"/>
              <w:rPr>
                <w:szCs w:val="21"/>
              </w:rPr>
            </w:pPr>
            <w:r>
              <w:rPr>
                <w:rFonts w:hint="eastAsia"/>
                <w:szCs w:val="21"/>
              </w:rPr>
              <w:t>刘胜学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10</w:t>
            </w:r>
          </w:p>
        </w:tc>
        <w:tc>
          <w:tcPr>
            <w:tcW w:w="2976" w:type="dxa"/>
          </w:tcPr>
          <w:p>
            <w:pPr>
              <w:adjustRightInd w:val="0"/>
              <w:snapToGrid w:val="0"/>
              <w:jc w:val="center"/>
              <w:rPr>
                <w:szCs w:val="21"/>
              </w:rPr>
            </w:pPr>
            <w:r>
              <w:rPr>
                <w:rFonts w:hint="eastAsia"/>
                <w:szCs w:val="21"/>
              </w:rPr>
              <w:t>关启金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11</w:t>
            </w:r>
          </w:p>
        </w:tc>
        <w:tc>
          <w:tcPr>
            <w:tcW w:w="2976" w:type="dxa"/>
          </w:tcPr>
          <w:p>
            <w:pPr>
              <w:adjustRightInd w:val="0"/>
              <w:snapToGrid w:val="0"/>
              <w:jc w:val="center"/>
              <w:rPr>
                <w:szCs w:val="21"/>
              </w:rPr>
            </w:pPr>
            <w:r>
              <w:rPr>
                <w:rFonts w:hint="eastAsia"/>
                <w:szCs w:val="21"/>
              </w:rPr>
              <w:t>蔡永学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12</w:t>
            </w:r>
          </w:p>
        </w:tc>
        <w:tc>
          <w:tcPr>
            <w:tcW w:w="2976" w:type="dxa"/>
          </w:tcPr>
          <w:p>
            <w:pPr>
              <w:adjustRightInd w:val="0"/>
              <w:snapToGrid w:val="0"/>
              <w:jc w:val="center"/>
              <w:rPr>
                <w:szCs w:val="21"/>
              </w:rPr>
            </w:pPr>
            <w:r>
              <w:rPr>
                <w:rFonts w:hint="eastAsia"/>
                <w:szCs w:val="21"/>
              </w:rPr>
              <w:t>曾馕发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13</w:t>
            </w:r>
          </w:p>
        </w:tc>
        <w:tc>
          <w:tcPr>
            <w:tcW w:w="2976" w:type="dxa"/>
          </w:tcPr>
          <w:p>
            <w:pPr>
              <w:adjustRightInd w:val="0"/>
              <w:snapToGrid w:val="0"/>
              <w:jc w:val="center"/>
              <w:rPr>
                <w:szCs w:val="21"/>
              </w:rPr>
            </w:pPr>
            <w:r>
              <w:rPr>
                <w:rFonts w:hint="eastAsia"/>
                <w:szCs w:val="21"/>
              </w:rPr>
              <w:t>崔绩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14</w:t>
            </w:r>
          </w:p>
        </w:tc>
        <w:tc>
          <w:tcPr>
            <w:tcW w:w="2976" w:type="dxa"/>
          </w:tcPr>
          <w:p>
            <w:pPr>
              <w:adjustRightInd w:val="0"/>
              <w:snapToGrid w:val="0"/>
              <w:jc w:val="center"/>
              <w:rPr>
                <w:szCs w:val="21"/>
              </w:rPr>
            </w:pPr>
            <w:r>
              <w:rPr>
                <w:rFonts w:hint="eastAsia"/>
                <w:szCs w:val="21"/>
              </w:rPr>
              <w:t>刘有权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15</w:t>
            </w:r>
          </w:p>
        </w:tc>
        <w:tc>
          <w:tcPr>
            <w:tcW w:w="2976" w:type="dxa"/>
          </w:tcPr>
          <w:p>
            <w:pPr>
              <w:adjustRightInd w:val="0"/>
              <w:snapToGrid w:val="0"/>
              <w:jc w:val="center"/>
              <w:rPr>
                <w:szCs w:val="21"/>
              </w:rPr>
            </w:pPr>
            <w:r>
              <w:rPr>
                <w:rFonts w:hint="eastAsia"/>
                <w:szCs w:val="21"/>
              </w:rPr>
              <w:t>张新祥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16</w:t>
            </w:r>
          </w:p>
        </w:tc>
        <w:tc>
          <w:tcPr>
            <w:tcW w:w="2976" w:type="dxa"/>
          </w:tcPr>
          <w:p>
            <w:pPr>
              <w:adjustRightInd w:val="0"/>
              <w:snapToGrid w:val="0"/>
              <w:jc w:val="center"/>
              <w:rPr>
                <w:szCs w:val="21"/>
              </w:rPr>
            </w:pPr>
            <w:r>
              <w:rPr>
                <w:rFonts w:hint="eastAsia"/>
                <w:szCs w:val="21"/>
              </w:rPr>
              <w:t>杨杨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17</w:t>
            </w:r>
          </w:p>
        </w:tc>
        <w:tc>
          <w:tcPr>
            <w:tcW w:w="2976" w:type="dxa"/>
          </w:tcPr>
          <w:p>
            <w:pPr>
              <w:adjustRightInd w:val="0"/>
              <w:snapToGrid w:val="0"/>
              <w:jc w:val="center"/>
              <w:rPr>
                <w:szCs w:val="21"/>
              </w:rPr>
            </w:pPr>
            <w:r>
              <w:rPr>
                <w:rFonts w:hint="eastAsia"/>
                <w:szCs w:val="21"/>
              </w:rPr>
              <w:t>周敏敏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18</w:t>
            </w:r>
          </w:p>
        </w:tc>
        <w:tc>
          <w:tcPr>
            <w:tcW w:w="2976" w:type="dxa"/>
          </w:tcPr>
          <w:p>
            <w:pPr>
              <w:adjustRightInd w:val="0"/>
              <w:snapToGrid w:val="0"/>
              <w:jc w:val="center"/>
              <w:rPr>
                <w:szCs w:val="21"/>
              </w:rPr>
            </w:pPr>
            <w:r>
              <w:rPr>
                <w:rFonts w:hint="eastAsia"/>
                <w:szCs w:val="21"/>
              </w:rPr>
              <w:t>何成云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19</w:t>
            </w:r>
          </w:p>
        </w:tc>
        <w:tc>
          <w:tcPr>
            <w:tcW w:w="2976" w:type="dxa"/>
          </w:tcPr>
          <w:p>
            <w:pPr>
              <w:adjustRightInd w:val="0"/>
              <w:snapToGrid w:val="0"/>
              <w:jc w:val="center"/>
              <w:rPr>
                <w:szCs w:val="21"/>
              </w:rPr>
            </w:pPr>
            <w:r>
              <w:rPr>
                <w:rFonts w:hint="eastAsia"/>
                <w:szCs w:val="21"/>
              </w:rPr>
              <w:t>林选运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20</w:t>
            </w:r>
          </w:p>
        </w:tc>
        <w:tc>
          <w:tcPr>
            <w:tcW w:w="2976" w:type="dxa"/>
          </w:tcPr>
          <w:p>
            <w:pPr>
              <w:adjustRightInd w:val="0"/>
              <w:snapToGrid w:val="0"/>
              <w:jc w:val="center"/>
              <w:rPr>
                <w:szCs w:val="21"/>
              </w:rPr>
            </w:pPr>
            <w:r>
              <w:rPr>
                <w:rFonts w:hint="eastAsia"/>
                <w:szCs w:val="21"/>
              </w:rPr>
              <w:t>谭有胜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21</w:t>
            </w:r>
          </w:p>
        </w:tc>
        <w:tc>
          <w:tcPr>
            <w:tcW w:w="2976" w:type="dxa"/>
          </w:tcPr>
          <w:p>
            <w:pPr>
              <w:adjustRightInd w:val="0"/>
              <w:snapToGrid w:val="0"/>
              <w:jc w:val="center"/>
              <w:rPr>
                <w:szCs w:val="21"/>
              </w:rPr>
            </w:pPr>
            <w:r>
              <w:rPr>
                <w:rFonts w:hint="eastAsia"/>
                <w:szCs w:val="21"/>
              </w:rPr>
              <w:t>何成贤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22</w:t>
            </w:r>
          </w:p>
        </w:tc>
        <w:tc>
          <w:tcPr>
            <w:tcW w:w="2976" w:type="dxa"/>
          </w:tcPr>
          <w:p>
            <w:pPr>
              <w:adjustRightInd w:val="0"/>
              <w:snapToGrid w:val="0"/>
              <w:jc w:val="center"/>
              <w:rPr>
                <w:szCs w:val="21"/>
              </w:rPr>
            </w:pPr>
            <w:r>
              <w:rPr>
                <w:rFonts w:hint="eastAsia"/>
                <w:szCs w:val="21"/>
              </w:rPr>
              <w:t>周贵刚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23</w:t>
            </w:r>
          </w:p>
        </w:tc>
        <w:tc>
          <w:tcPr>
            <w:tcW w:w="2976" w:type="dxa"/>
          </w:tcPr>
          <w:p>
            <w:pPr>
              <w:adjustRightInd w:val="0"/>
              <w:snapToGrid w:val="0"/>
              <w:jc w:val="center"/>
              <w:rPr>
                <w:szCs w:val="21"/>
              </w:rPr>
            </w:pPr>
            <w:r>
              <w:rPr>
                <w:rFonts w:hint="eastAsia"/>
                <w:szCs w:val="21"/>
              </w:rPr>
              <w:t>王洪美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24</w:t>
            </w:r>
          </w:p>
        </w:tc>
        <w:tc>
          <w:tcPr>
            <w:tcW w:w="2976" w:type="dxa"/>
          </w:tcPr>
          <w:p>
            <w:pPr>
              <w:adjustRightInd w:val="0"/>
              <w:snapToGrid w:val="0"/>
              <w:jc w:val="center"/>
              <w:rPr>
                <w:szCs w:val="21"/>
              </w:rPr>
            </w:pPr>
            <w:r>
              <w:rPr>
                <w:rFonts w:hint="eastAsia"/>
                <w:szCs w:val="21"/>
              </w:rPr>
              <w:t>王洪珍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25</w:t>
            </w:r>
          </w:p>
        </w:tc>
        <w:tc>
          <w:tcPr>
            <w:tcW w:w="2976" w:type="dxa"/>
          </w:tcPr>
          <w:p>
            <w:pPr>
              <w:adjustRightInd w:val="0"/>
              <w:snapToGrid w:val="0"/>
              <w:jc w:val="center"/>
              <w:rPr>
                <w:szCs w:val="21"/>
              </w:rPr>
            </w:pPr>
            <w:r>
              <w:rPr>
                <w:rFonts w:hint="eastAsia"/>
                <w:szCs w:val="21"/>
              </w:rPr>
              <w:t>周敏雄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26</w:t>
            </w:r>
          </w:p>
        </w:tc>
        <w:tc>
          <w:tcPr>
            <w:tcW w:w="2976" w:type="dxa"/>
          </w:tcPr>
          <w:p>
            <w:pPr>
              <w:adjustRightInd w:val="0"/>
              <w:snapToGrid w:val="0"/>
              <w:jc w:val="center"/>
              <w:rPr>
                <w:szCs w:val="21"/>
              </w:rPr>
            </w:pPr>
            <w:r>
              <w:rPr>
                <w:rFonts w:hint="eastAsia"/>
                <w:szCs w:val="21"/>
              </w:rPr>
              <w:t>陈文航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27</w:t>
            </w:r>
          </w:p>
        </w:tc>
        <w:tc>
          <w:tcPr>
            <w:tcW w:w="2976" w:type="dxa"/>
          </w:tcPr>
          <w:p>
            <w:pPr>
              <w:adjustRightInd w:val="0"/>
              <w:snapToGrid w:val="0"/>
              <w:jc w:val="center"/>
              <w:rPr>
                <w:szCs w:val="21"/>
              </w:rPr>
            </w:pPr>
            <w:r>
              <w:rPr>
                <w:rFonts w:hint="eastAsia"/>
                <w:szCs w:val="21"/>
              </w:rPr>
              <w:t>周花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28</w:t>
            </w:r>
          </w:p>
        </w:tc>
        <w:tc>
          <w:tcPr>
            <w:tcW w:w="2976" w:type="dxa"/>
          </w:tcPr>
          <w:p>
            <w:pPr>
              <w:adjustRightInd w:val="0"/>
              <w:snapToGrid w:val="0"/>
              <w:jc w:val="center"/>
              <w:rPr>
                <w:szCs w:val="21"/>
              </w:rPr>
            </w:pPr>
            <w:r>
              <w:rPr>
                <w:rFonts w:hint="eastAsia"/>
                <w:szCs w:val="21"/>
              </w:rPr>
              <w:t>印朋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29</w:t>
            </w:r>
          </w:p>
        </w:tc>
        <w:tc>
          <w:tcPr>
            <w:tcW w:w="2976" w:type="dxa"/>
          </w:tcPr>
          <w:p>
            <w:pPr>
              <w:adjustRightInd w:val="0"/>
              <w:snapToGrid w:val="0"/>
              <w:jc w:val="center"/>
              <w:rPr>
                <w:szCs w:val="21"/>
              </w:rPr>
            </w:pPr>
            <w:r>
              <w:rPr>
                <w:rFonts w:hint="eastAsia"/>
                <w:szCs w:val="21"/>
              </w:rPr>
              <w:t>陈刚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30</w:t>
            </w:r>
          </w:p>
        </w:tc>
        <w:tc>
          <w:tcPr>
            <w:tcW w:w="2976" w:type="dxa"/>
          </w:tcPr>
          <w:p>
            <w:pPr>
              <w:adjustRightInd w:val="0"/>
              <w:snapToGrid w:val="0"/>
              <w:jc w:val="center"/>
              <w:rPr>
                <w:szCs w:val="21"/>
              </w:rPr>
            </w:pPr>
            <w:r>
              <w:rPr>
                <w:rFonts w:hint="eastAsia"/>
                <w:szCs w:val="21"/>
              </w:rPr>
              <w:t>王开权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31</w:t>
            </w:r>
          </w:p>
        </w:tc>
        <w:tc>
          <w:tcPr>
            <w:tcW w:w="2976" w:type="dxa"/>
          </w:tcPr>
          <w:p>
            <w:pPr>
              <w:adjustRightInd w:val="0"/>
              <w:snapToGrid w:val="0"/>
              <w:jc w:val="center"/>
              <w:rPr>
                <w:szCs w:val="21"/>
              </w:rPr>
            </w:pPr>
            <w:r>
              <w:rPr>
                <w:rFonts w:hint="eastAsia"/>
                <w:szCs w:val="21"/>
              </w:rPr>
              <w:t>郭忠英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32</w:t>
            </w:r>
          </w:p>
        </w:tc>
        <w:tc>
          <w:tcPr>
            <w:tcW w:w="2976" w:type="dxa"/>
          </w:tcPr>
          <w:p>
            <w:pPr>
              <w:adjustRightInd w:val="0"/>
              <w:snapToGrid w:val="0"/>
              <w:jc w:val="center"/>
              <w:rPr>
                <w:szCs w:val="21"/>
              </w:rPr>
            </w:pPr>
            <w:r>
              <w:rPr>
                <w:rFonts w:hint="eastAsia"/>
                <w:szCs w:val="21"/>
              </w:rPr>
              <w:t>彭浪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33</w:t>
            </w:r>
          </w:p>
        </w:tc>
        <w:tc>
          <w:tcPr>
            <w:tcW w:w="2976" w:type="dxa"/>
          </w:tcPr>
          <w:p>
            <w:pPr>
              <w:adjustRightInd w:val="0"/>
              <w:snapToGrid w:val="0"/>
              <w:jc w:val="center"/>
              <w:rPr>
                <w:szCs w:val="21"/>
              </w:rPr>
            </w:pPr>
            <w:r>
              <w:rPr>
                <w:rFonts w:hint="eastAsia"/>
                <w:szCs w:val="21"/>
              </w:rPr>
              <w:t>冯乐澄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34</w:t>
            </w:r>
          </w:p>
        </w:tc>
        <w:tc>
          <w:tcPr>
            <w:tcW w:w="2976" w:type="dxa"/>
          </w:tcPr>
          <w:p>
            <w:pPr>
              <w:adjustRightInd w:val="0"/>
              <w:snapToGrid w:val="0"/>
              <w:jc w:val="center"/>
              <w:rPr>
                <w:szCs w:val="21"/>
              </w:rPr>
            </w:pPr>
            <w:r>
              <w:rPr>
                <w:rFonts w:hint="eastAsia"/>
                <w:szCs w:val="21"/>
              </w:rPr>
              <w:t>何吉光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35</w:t>
            </w:r>
          </w:p>
        </w:tc>
        <w:tc>
          <w:tcPr>
            <w:tcW w:w="2976" w:type="dxa"/>
          </w:tcPr>
          <w:p>
            <w:pPr>
              <w:adjustRightInd w:val="0"/>
              <w:snapToGrid w:val="0"/>
              <w:jc w:val="center"/>
              <w:rPr>
                <w:szCs w:val="21"/>
              </w:rPr>
            </w:pPr>
            <w:r>
              <w:rPr>
                <w:rFonts w:hint="eastAsia"/>
                <w:szCs w:val="21"/>
              </w:rPr>
              <w:t>王金前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36</w:t>
            </w:r>
          </w:p>
        </w:tc>
        <w:tc>
          <w:tcPr>
            <w:tcW w:w="2976" w:type="dxa"/>
          </w:tcPr>
          <w:p>
            <w:pPr>
              <w:adjustRightInd w:val="0"/>
              <w:snapToGrid w:val="0"/>
              <w:jc w:val="center"/>
              <w:rPr>
                <w:szCs w:val="21"/>
              </w:rPr>
            </w:pPr>
            <w:r>
              <w:rPr>
                <w:rFonts w:hint="eastAsia"/>
                <w:szCs w:val="21"/>
              </w:rPr>
              <w:t>周国江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37</w:t>
            </w:r>
          </w:p>
        </w:tc>
        <w:tc>
          <w:tcPr>
            <w:tcW w:w="2976" w:type="dxa"/>
          </w:tcPr>
          <w:p>
            <w:pPr>
              <w:adjustRightInd w:val="0"/>
              <w:snapToGrid w:val="0"/>
              <w:jc w:val="center"/>
              <w:rPr>
                <w:szCs w:val="21"/>
              </w:rPr>
            </w:pPr>
            <w:r>
              <w:rPr>
                <w:rFonts w:hint="eastAsia"/>
                <w:szCs w:val="21"/>
              </w:rPr>
              <w:t>王重跃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38</w:t>
            </w:r>
          </w:p>
        </w:tc>
        <w:tc>
          <w:tcPr>
            <w:tcW w:w="2976" w:type="dxa"/>
          </w:tcPr>
          <w:p>
            <w:pPr>
              <w:adjustRightInd w:val="0"/>
              <w:snapToGrid w:val="0"/>
              <w:jc w:val="center"/>
              <w:rPr>
                <w:szCs w:val="21"/>
              </w:rPr>
            </w:pPr>
            <w:r>
              <w:rPr>
                <w:rFonts w:hint="eastAsia"/>
                <w:szCs w:val="21"/>
              </w:rPr>
              <w:t>李学芬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39</w:t>
            </w:r>
          </w:p>
        </w:tc>
        <w:tc>
          <w:tcPr>
            <w:tcW w:w="2976" w:type="dxa"/>
          </w:tcPr>
          <w:p>
            <w:pPr>
              <w:adjustRightInd w:val="0"/>
              <w:snapToGrid w:val="0"/>
              <w:jc w:val="center"/>
              <w:rPr>
                <w:szCs w:val="21"/>
              </w:rPr>
            </w:pPr>
            <w:r>
              <w:rPr>
                <w:rFonts w:hint="eastAsia"/>
                <w:szCs w:val="21"/>
              </w:rPr>
              <w:t>文鹏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40</w:t>
            </w:r>
          </w:p>
        </w:tc>
        <w:tc>
          <w:tcPr>
            <w:tcW w:w="2976" w:type="dxa"/>
          </w:tcPr>
          <w:p>
            <w:pPr>
              <w:adjustRightInd w:val="0"/>
              <w:snapToGrid w:val="0"/>
              <w:jc w:val="center"/>
              <w:rPr>
                <w:szCs w:val="21"/>
              </w:rPr>
            </w:pPr>
            <w:r>
              <w:rPr>
                <w:rFonts w:hint="eastAsia"/>
                <w:szCs w:val="21"/>
              </w:rPr>
              <w:t>王学高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41</w:t>
            </w:r>
          </w:p>
        </w:tc>
        <w:tc>
          <w:tcPr>
            <w:tcW w:w="2976" w:type="dxa"/>
          </w:tcPr>
          <w:p>
            <w:pPr>
              <w:adjustRightInd w:val="0"/>
              <w:snapToGrid w:val="0"/>
              <w:jc w:val="center"/>
              <w:rPr>
                <w:szCs w:val="21"/>
              </w:rPr>
            </w:pPr>
            <w:r>
              <w:rPr>
                <w:rFonts w:hint="eastAsia"/>
                <w:szCs w:val="21"/>
              </w:rPr>
              <w:t>谭明顺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42</w:t>
            </w:r>
          </w:p>
        </w:tc>
        <w:tc>
          <w:tcPr>
            <w:tcW w:w="2976" w:type="dxa"/>
          </w:tcPr>
          <w:p>
            <w:pPr>
              <w:adjustRightInd w:val="0"/>
              <w:snapToGrid w:val="0"/>
              <w:jc w:val="center"/>
              <w:rPr>
                <w:szCs w:val="21"/>
              </w:rPr>
            </w:pPr>
            <w:r>
              <w:rPr>
                <w:rFonts w:hint="eastAsia"/>
                <w:szCs w:val="21"/>
              </w:rPr>
              <w:t>李云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43</w:t>
            </w:r>
          </w:p>
        </w:tc>
        <w:tc>
          <w:tcPr>
            <w:tcW w:w="2976" w:type="dxa"/>
          </w:tcPr>
          <w:p>
            <w:pPr>
              <w:adjustRightInd w:val="0"/>
              <w:snapToGrid w:val="0"/>
              <w:jc w:val="center"/>
              <w:rPr>
                <w:szCs w:val="21"/>
              </w:rPr>
            </w:pPr>
            <w:r>
              <w:rPr>
                <w:rFonts w:hint="eastAsia"/>
                <w:szCs w:val="21"/>
              </w:rPr>
              <w:t>王筛妹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44</w:t>
            </w:r>
          </w:p>
        </w:tc>
        <w:tc>
          <w:tcPr>
            <w:tcW w:w="2976" w:type="dxa"/>
          </w:tcPr>
          <w:p>
            <w:pPr>
              <w:adjustRightInd w:val="0"/>
              <w:snapToGrid w:val="0"/>
              <w:jc w:val="center"/>
              <w:rPr>
                <w:szCs w:val="21"/>
              </w:rPr>
            </w:pPr>
            <w:r>
              <w:rPr>
                <w:rFonts w:hint="eastAsia"/>
                <w:szCs w:val="21"/>
              </w:rPr>
              <w:t>史瑞红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45</w:t>
            </w:r>
          </w:p>
        </w:tc>
        <w:tc>
          <w:tcPr>
            <w:tcW w:w="2976" w:type="dxa"/>
          </w:tcPr>
          <w:p>
            <w:pPr>
              <w:adjustRightInd w:val="0"/>
              <w:snapToGrid w:val="0"/>
              <w:jc w:val="center"/>
              <w:rPr>
                <w:szCs w:val="21"/>
              </w:rPr>
            </w:pPr>
            <w:r>
              <w:rPr>
                <w:rFonts w:hint="eastAsia"/>
                <w:szCs w:val="21"/>
              </w:rPr>
              <w:t>李俊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46</w:t>
            </w:r>
          </w:p>
        </w:tc>
        <w:tc>
          <w:tcPr>
            <w:tcW w:w="2976" w:type="dxa"/>
          </w:tcPr>
          <w:p>
            <w:pPr>
              <w:adjustRightInd w:val="0"/>
              <w:snapToGrid w:val="0"/>
              <w:jc w:val="center"/>
              <w:rPr>
                <w:szCs w:val="21"/>
              </w:rPr>
            </w:pPr>
            <w:r>
              <w:rPr>
                <w:rFonts w:hint="eastAsia"/>
                <w:szCs w:val="21"/>
              </w:rPr>
              <w:t>徐大伟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47</w:t>
            </w:r>
          </w:p>
        </w:tc>
        <w:tc>
          <w:tcPr>
            <w:tcW w:w="2976" w:type="dxa"/>
          </w:tcPr>
          <w:p>
            <w:pPr>
              <w:adjustRightInd w:val="0"/>
              <w:snapToGrid w:val="0"/>
              <w:jc w:val="center"/>
              <w:rPr>
                <w:szCs w:val="21"/>
              </w:rPr>
            </w:pPr>
            <w:r>
              <w:rPr>
                <w:rFonts w:hint="eastAsia"/>
                <w:szCs w:val="21"/>
              </w:rPr>
              <w:t>谭有国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48</w:t>
            </w:r>
          </w:p>
        </w:tc>
        <w:tc>
          <w:tcPr>
            <w:tcW w:w="2976" w:type="dxa"/>
          </w:tcPr>
          <w:p>
            <w:pPr>
              <w:adjustRightInd w:val="0"/>
              <w:snapToGrid w:val="0"/>
              <w:jc w:val="center"/>
              <w:rPr>
                <w:szCs w:val="21"/>
              </w:rPr>
            </w:pPr>
            <w:r>
              <w:rPr>
                <w:rFonts w:hint="eastAsia"/>
                <w:szCs w:val="21"/>
              </w:rPr>
              <w:t>叶发德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49</w:t>
            </w:r>
          </w:p>
        </w:tc>
        <w:tc>
          <w:tcPr>
            <w:tcW w:w="2976" w:type="dxa"/>
          </w:tcPr>
          <w:p>
            <w:pPr>
              <w:adjustRightInd w:val="0"/>
              <w:snapToGrid w:val="0"/>
              <w:jc w:val="center"/>
              <w:rPr>
                <w:szCs w:val="21"/>
              </w:rPr>
            </w:pPr>
            <w:r>
              <w:rPr>
                <w:rFonts w:hint="eastAsia"/>
                <w:szCs w:val="21"/>
              </w:rPr>
              <w:t>王学有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50</w:t>
            </w:r>
          </w:p>
        </w:tc>
        <w:tc>
          <w:tcPr>
            <w:tcW w:w="2976" w:type="dxa"/>
          </w:tcPr>
          <w:p>
            <w:pPr>
              <w:adjustRightInd w:val="0"/>
              <w:snapToGrid w:val="0"/>
              <w:jc w:val="center"/>
              <w:rPr>
                <w:szCs w:val="21"/>
              </w:rPr>
            </w:pPr>
            <w:r>
              <w:rPr>
                <w:rFonts w:hint="eastAsia"/>
                <w:szCs w:val="21"/>
              </w:rPr>
              <w:t>陈正美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51</w:t>
            </w:r>
          </w:p>
        </w:tc>
        <w:tc>
          <w:tcPr>
            <w:tcW w:w="2976" w:type="dxa"/>
          </w:tcPr>
          <w:p>
            <w:pPr>
              <w:adjustRightInd w:val="0"/>
              <w:snapToGrid w:val="0"/>
              <w:jc w:val="center"/>
              <w:rPr>
                <w:szCs w:val="21"/>
              </w:rPr>
            </w:pPr>
            <w:r>
              <w:rPr>
                <w:rFonts w:hint="eastAsia"/>
                <w:szCs w:val="21"/>
              </w:rPr>
              <w:t>叶发松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52</w:t>
            </w:r>
          </w:p>
        </w:tc>
        <w:tc>
          <w:tcPr>
            <w:tcW w:w="2976" w:type="dxa"/>
          </w:tcPr>
          <w:p>
            <w:pPr>
              <w:adjustRightInd w:val="0"/>
              <w:snapToGrid w:val="0"/>
              <w:jc w:val="center"/>
              <w:rPr>
                <w:szCs w:val="21"/>
              </w:rPr>
            </w:pPr>
            <w:r>
              <w:rPr>
                <w:rFonts w:hint="eastAsia"/>
                <w:szCs w:val="21"/>
              </w:rPr>
              <w:t>谭明忠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Pr>
          <w:p>
            <w:pPr>
              <w:adjustRightInd w:val="0"/>
              <w:snapToGrid w:val="0"/>
              <w:jc w:val="center"/>
              <w:rPr>
                <w:szCs w:val="21"/>
              </w:rPr>
            </w:pPr>
            <w:r>
              <w:rPr>
                <w:rFonts w:hint="eastAsia"/>
                <w:szCs w:val="21"/>
              </w:rPr>
              <w:t>53</w:t>
            </w:r>
          </w:p>
        </w:tc>
        <w:tc>
          <w:tcPr>
            <w:tcW w:w="2976" w:type="dxa"/>
          </w:tcPr>
          <w:p>
            <w:pPr>
              <w:adjustRightInd w:val="0"/>
              <w:snapToGrid w:val="0"/>
              <w:jc w:val="center"/>
              <w:rPr>
                <w:szCs w:val="21"/>
              </w:rPr>
            </w:pPr>
            <w:r>
              <w:rPr>
                <w:rFonts w:hint="eastAsia"/>
                <w:szCs w:val="21"/>
              </w:rPr>
              <w:t>何普吉</w:t>
            </w:r>
          </w:p>
        </w:tc>
      </w:tr>
    </w:tbl>
    <w:p>
      <w:pPr>
        <w:snapToGrid w:val="0"/>
        <w:spacing w:before="100" w:beforeAutospacing="1" w:line="360" w:lineRule="auto"/>
        <w:ind w:firstLine="422" w:firstLineChars="200"/>
        <w:jc w:val="center"/>
        <w:rPr>
          <w:b/>
          <w:bCs/>
          <w:szCs w:val="21"/>
        </w:rPr>
      </w:pPr>
      <w:r>
        <w:rPr>
          <w:b/>
          <w:bCs/>
          <w:szCs w:val="21"/>
        </w:rPr>
        <w:t>表</w:t>
      </w:r>
      <w:r>
        <w:rPr>
          <w:rFonts w:hint="eastAsia"/>
          <w:b/>
          <w:bCs/>
          <w:szCs w:val="21"/>
        </w:rPr>
        <w:t>4</w:t>
      </w:r>
      <w:r>
        <w:rPr>
          <w:b/>
          <w:bCs/>
          <w:szCs w:val="21"/>
        </w:rPr>
        <w:t>-</w:t>
      </w:r>
      <w:r>
        <w:rPr>
          <w:rFonts w:hint="eastAsia"/>
          <w:b/>
          <w:bCs/>
          <w:szCs w:val="21"/>
        </w:rPr>
        <w:t>2</w:t>
      </w:r>
      <w:r>
        <w:rPr>
          <w:b/>
          <w:bCs/>
          <w:szCs w:val="21"/>
        </w:rPr>
        <w:t xml:space="preserve">   公</w:t>
      </w:r>
      <w:r>
        <w:rPr>
          <w:rFonts w:hint="eastAsia"/>
          <w:b/>
          <w:bCs/>
          <w:szCs w:val="21"/>
        </w:rPr>
        <w:t>众参与团体联系方式统计表</w:t>
      </w:r>
    </w:p>
    <w:tbl>
      <w:tblPr>
        <w:tblStyle w:val="16"/>
        <w:tblW w:w="48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3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vAlign w:val="center"/>
          </w:tcPr>
          <w:p>
            <w:pPr>
              <w:adjustRightInd w:val="0"/>
              <w:snapToGrid w:val="0"/>
              <w:jc w:val="center"/>
              <w:rPr>
                <w:szCs w:val="21"/>
              </w:rPr>
            </w:pPr>
            <w:r>
              <w:rPr>
                <w:rFonts w:hint="eastAsia"/>
                <w:szCs w:val="21"/>
              </w:rPr>
              <w:t>序号</w:t>
            </w:r>
          </w:p>
        </w:tc>
        <w:tc>
          <w:tcPr>
            <w:tcW w:w="3336" w:type="dxa"/>
            <w:vAlign w:val="center"/>
          </w:tcPr>
          <w:p>
            <w:pPr>
              <w:adjustRightInd w:val="0"/>
              <w:snapToGrid w:val="0"/>
              <w:jc w:val="center"/>
              <w:rPr>
                <w:szCs w:val="21"/>
              </w:rPr>
            </w:pPr>
            <w:r>
              <w:rPr>
                <w:rFonts w:hint="eastAsia"/>
                <w:szCs w:val="21"/>
              </w:rPr>
              <w:t>团体名称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vAlign w:val="center"/>
          </w:tcPr>
          <w:p>
            <w:pPr>
              <w:adjustRightInd w:val="0"/>
              <w:snapToGrid w:val="0"/>
              <w:jc w:val="center"/>
              <w:rPr>
                <w:szCs w:val="21"/>
              </w:rPr>
            </w:pPr>
            <w:r>
              <w:rPr>
                <w:rFonts w:hint="eastAsia"/>
                <w:szCs w:val="21"/>
              </w:rPr>
              <w:t>1</w:t>
            </w:r>
          </w:p>
        </w:tc>
        <w:tc>
          <w:tcPr>
            <w:tcW w:w="3336" w:type="dxa"/>
            <w:vAlign w:val="center"/>
          </w:tcPr>
          <w:p>
            <w:pPr>
              <w:adjustRightInd w:val="0"/>
              <w:snapToGrid w:val="0"/>
              <w:jc w:val="center"/>
              <w:rPr>
                <w:szCs w:val="21"/>
              </w:rPr>
            </w:pPr>
            <w:r>
              <w:rPr>
                <w:rFonts w:hint="eastAsia"/>
                <w:szCs w:val="21"/>
              </w:rPr>
              <w:t>六枝特区新窑镇那玉村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vAlign w:val="center"/>
          </w:tcPr>
          <w:p>
            <w:pPr>
              <w:adjustRightInd w:val="0"/>
              <w:snapToGrid w:val="0"/>
              <w:jc w:val="center"/>
              <w:rPr>
                <w:szCs w:val="21"/>
              </w:rPr>
            </w:pPr>
            <w:r>
              <w:rPr>
                <w:rFonts w:hint="eastAsia"/>
                <w:szCs w:val="21"/>
              </w:rPr>
              <w:t>2</w:t>
            </w:r>
          </w:p>
        </w:tc>
        <w:tc>
          <w:tcPr>
            <w:tcW w:w="3336" w:type="dxa"/>
            <w:vAlign w:val="center"/>
          </w:tcPr>
          <w:p>
            <w:pPr>
              <w:adjustRightInd w:val="0"/>
              <w:snapToGrid w:val="0"/>
              <w:jc w:val="center"/>
              <w:rPr>
                <w:szCs w:val="21"/>
              </w:rPr>
            </w:pPr>
            <w:r>
              <w:rPr>
                <w:rFonts w:hint="eastAsia"/>
                <w:szCs w:val="21"/>
              </w:rPr>
              <w:t>六枝特区新窑镇新河村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vAlign w:val="center"/>
          </w:tcPr>
          <w:p>
            <w:pPr>
              <w:adjustRightInd w:val="0"/>
              <w:snapToGrid w:val="0"/>
              <w:jc w:val="center"/>
              <w:rPr>
                <w:szCs w:val="21"/>
              </w:rPr>
            </w:pPr>
            <w:r>
              <w:rPr>
                <w:rFonts w:hint="eastAsia"/>
                <w:szCs w:val="21"/>
              </w:rPr>
              <w:t>3</w:t>
            </w:r>
          </w:p>
        </w:tc>
        <w:tc>
          <w:tcPr>
            <w:tcW w:w="3336" w:type="dxa"/>
            <w:vAlign w:val="center"/>
          </w:tcPr>
          <w:p>
            <w:pPr>
              <w:adjustRightInd w:val="0"/>
              <w:snapToGrid w:val="0"/>
              <w:jc w:val="center"/>
              <w:rPr>
                <w:szCs w:val="21"/>
              </w:rPr>
            </w:pPr>
            <w:r>
              <w:rPr>
                <w:rFonts w:hint="eastAsia"/>
                <w:szCs w:val="21"/>
              </w:rPr>
              <w:t>贵州晋昌源运销有限公司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vAlign w:val="center"/>
          </w:tcPr>
          <w:p>
            <w:pPr>
              <w:adjustRightInd w:val="0"/>
              <w:snapToGrid w:val="0"/>
              <w:jc w:val="center"/>
              <w:rPr>
                <w:szCs w:val="21"/>
              </w:rPr>
            </w:pPr>
            <w:r>
              <w:rPr>
                <w:rFonts w:hint="eastAsia"/>
                <w:szCs w:val="21"/>
              </w:rPr>
              <w:t>4</w:t>
            </w:r>
          </w:p>
        </w:tc>
        <w:tc>
          <w:tcPr>
            <w:tcW w:w="3336" w:type="dxa"/>
            <w:vAlign w:val="center"/>
          </w:tcPr>
          <w:p>
            <w:pPr>
              <w:adjustRightInd w:val="0"/>
              <w:snapToGrid w:val="0"/>
              <w:jc w:val="center"/>
              <w:rPr>
                <w:szCs w:val="21"/>
              </w:rPr>
            </w:pPr>
            <w:r>
              <w:rPr>
                <w:rFonts w:hint="eastAsia"/>
                <w:szCs w:val="21"/>
              </w:rPr>
              <w:t>贵州蓝天鼎美水务有限公司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vAlign w:val="center"/>
          </w:tcPr>
          <w:p>
            <w:pPr>
              <w:adjustRightInd w:val="0"/>
              <w:snapToGrid w:val="0"/>
              <w:jc w:val="center"/>
              <w:rPr>
                <w:szCs w:val="21"/>
              </w:rPr>
            </w:pPr>
            <w:r>
              <w:rPr>
                <w:rFonts w:hint="eastAsia"/>
                <w:szCs w:val="21"/>
              </w:rPr>
              <w:t>5</w:t>
            </w:r>
          </w:p>
        </w:tc>
        <w:tc>
          <w:tcPr>
            <w:tcW w:w="3336" w:type="dxa"/>
            <w:vAlign w:val="center"/>
          </w:tcPr>
          <w:p>
            <w:pPr>
              <w:adjustRightInd w:val="0"/>
              <w:snapToGrid w:val="0"/>
              <w:jc w:val="center"/>
              <w:rPr>
                <w:szCs w:val="21"/>
              </w:rPr>
            </w:pPr>
            <w:r>
              <w:rPr>
                <w:rFonts w:hint="eastAsia"/>
                <w:szCs w:val="21"/>
              </w:rPr>
              <w:t>贵州三强新能源有限公司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vAlign w:val="center"/>
          </w:tcPr>
          <w:p>
            <w:pPr>
              <w:adjustRightInd w:val="0"/>
              <w:snapToGrid w:val="0"/>
              <w:jc w:val="center"/>
              <w:rPr>
                <w:szCs w:val="21"/>
              </w:rPr>
            </w:pPr>
            <w:r>
              <w:rPr>
                <w:rFonts w:hint="eastAsia"/>
                <w:szCs w:val="21"/>
              </w:rPr>
              <w:t>6</w:t>
            </w:r>
          </w:p>
        </w:tc>
        <w:tc>
          <w:tcPr>
            <w:tcW w:w="3336" w:type="dxa"/>
            <w:vAlign w:val="center"/>
          </w:tcPr>
          <w:p>
            <w:pPr>
              <w:adjustRightInd w:val="0"/>
              <w:snapToGrid w:val="0"/>
              <w:jc w:val="center"/>
              <w:rPr>
                <w:szCs w:val="21"/>
              </w:rPr>
            </w:pPr>
            <w:r>
              <w:rPr>
                <w:rFonts w:hint="eastAsia"/>
                <w:szCs w:val="21"/>
              </w:rPr>
              <w:t>贵州新仁新能源科技有限公司</w:t>
            </w:r>
          </w:p>
        </w:tc>
      </w:tr>
    </w:tbl>
    <w:p>
      <w:pPr>
        <w:snapToGrid w:val="0"/>
        <w:spacing w:line="360" w:lineRule="auto"/>
        <w:ind w:firstLine="422" w:firstLineChars="200"/>
        <w:jc w:val="center"/>
        <w:rPr>
          <w:b/>
          <w:bCs/>
          <w:szCs w:val="21"/>
        </w:rPr>
      </w:pPr>
    </w:p>
    <w:p>
      <w:pPr>
        <w:snapToGrid w:val="0"/>
        <w:spacing w:line="360" w:lineRule="auto"/>
        <w:ind w:firstLine="480" w:firstLineChars="200"/>
        <w:rPr>
          <w:sz w:val="24"/>
        </w:rPr>
      </w:pPr>
      <w:r>
        <w:rPr>
          <w:rFonts w:hint="eastAsia"/>
          <w:sz w:val="24"/>
        </w:rPr>
        <w:t>由调查统计表可知：未收到公众和社会团体反对意见，在环境保护措施全部落实的情况下，项目的建设符合当地群众意愿，当地群众思想基本统一，为项目正常建设运营创造了良好的群众基础。</w:t>
      </w:r>
    </w:p>
    <w:p>
      <w:pPr>
        <w:snapToGrid w:val="0"/>
        <w:spacing w:line="360" w:lineRule="auto"/>
        <w:ind w:firstLine="480" w:firstLineChars="200"/>
        <w:rPr>
          <w:sz w:val="24"/>
        </w:rPr>
      </w:pPr>
    </w:p>
    <w:p>
      <w:pPr>
        <w:pStyle w:val="2"/>
        <w:snapToGrid w:val="0"/>
        <w:rPr>
          <w:sz w:val="28"/>
          <w:szCs w:val="28"/>
        </w:rPr>
      </w:pPr>
      <w:bookmarkStart w:id="15" w:name="_Toc207274036"/>
      <w:r>
        <w:rPr>
          <w:rFonts w:hint="eastAsia"/>
          <w:sz w:val="28"/>
          <w:szCs w:val="28"/>
        </w:rPr>
        <w:t>公众参与调查结论</w:t>
      </w:r>
      <w:bookmarkEnd w:id="15"/>
    </w:p>
    <w:p>
      <w:pPr>
        <w:pStyle w:val="23"/>
        <w:snapToGrid w:val="0"/>
        <w:rPr>
          <w:rFonts w:ascii="Times New Roman" w:hAnsi="Times New Roman"/>
        </w:rPr>
      </w:pPr>
      <w:r>
        <w:rPr>
          <w:rFonts w:ascii="Times New Roman" w:hAnsi="Times New Roman"/>
        </w:rPr>
        <w:t>本项目环评开展过程中，我单位针对项目建设对周围环境的影响进行了</w:t>
      </w:r>
      <w:r>
        <w:rPr>
          <w:rFonts w:hint="eastAsia" w:ascii="Times New Roman" w:hAnsi="Times New Roman"/>
        </w:rPr>
        <w:t>公众参与</w:t>
      </w:r>
      <w:r>
        <w:rPr>
          <w:rFonts w:ascii="Times New Roman" w:hAnsi="Times New Roman"/>
        </w:rPr>
        <w:t>。第一次公示于202</w:t>
      </w:r>
      <w:r>
        <w:rPr>
          <w:rFonts w:ascii="Times New Roman" w:hAnsi="Times New Roman"/>
          <w:lang w:val="en-US"/>
        </w:rPr>
        <w:t>4</w:t>
      </w:r>
      <w:r>
        <w:rPr>
          <w:rFonts w:ascii="Times New Roman" w:hAnsi="Times New Roman"/>
        </w:rPr>
        <w:t>年</w:t>
      </w:r>
      <w:r>
        <w:rPr>
          <w:rFonts w:hint="eastAsia" w:ascii="Times New Roman" w:hAnsi="Times New Roman"/>
        </w:rPr>
        <w:t>11</w:t>
      </w:r>
      <w:r>
        <w:rPr>
          <w:rFonts w:ascii="Times New Roman" w:hAnsi="Times New Roman"/>
        </w:rPr>
        <w:t>月2</w:t>
      </w:r>
      <w:r>
        <w:rPr>
          <w:rFonts w:hint="eastAsia" w:ascii="Times New Roman" w:hAnsi="Times New Roman"/>
        </w:rPr>
        <w:t>2</w:t>
      </w:r>
      <w:r>
        <w:rPr>
          <w:rFonts w:ascii="Times New Roman" w:hAnsi="Times New Roman"/>
        </w:rPr>
        <w:t>日进行了网络公开，征求公众意见；第二次公示于202</w:t>
      </w:r>
      <w:r>
        <w:rPr>
          <w:rFonts w:hint="eastAsia" w:ascii="Times New Roman" w:hAnsi="Times New Roman"/>
          <w:lang w:val="en-US"/>
        </w:rPr>
        <w:t>5</w:t>
      </w:r>
      <w:r>
        <w:rPr>
          <w:rFonts w:ascii="Times New Roman" w:hAnsi="Times New Roman"/>
        </w:rPr>
        <w:t>年</w:t>
      </w:r>
      <w:r>
        <w:rPr>
          <w:rFonts w:hint="eastAsia" w:ascii="Times New Roman" w:hAnsi="Times New Roman"/>
        </w:rPr>
        <w:t>6</w:t>
      </w:r>
      <w:r>
        <w:rPr>
          <w:rFonts w:ascii="Times New Roman" w:hAnsi="Times New Roman"/>
        </w:rPr>
        <w:t>月</w:t>
      </w:r>
      <w:r>
        <w:rPr>
          <w:rFonts w:hint="eastAsia" w:ascii="Times New Roman" w:hAnsi="Times New Roman"/>
        </w:rPr>
        <w:t>25</w:t>
      </w:r>
      <w:r>
        <w:rPr>
          <w:rFonts w:ascii="Times New Roman" w:hAnsi="Times New Roman"/>
        </w:rPr>
        <w:t>日~</w:t>
      </w:r>
      <w:r>
        <w:rPr>
          <w:rFonts w:hint="eastAsia" w:ascii="Times New Roman" w:hAnsi="Times New Roman"/>
        </w:rPr>
        <w:t>7</w:t>
      </w:r>
      <w:r>
        <w:rPr>
          <w:rFonts w:ascii="Times New Roman" w:hAnsi="Times New Roman"/>
        </w:rPr>
        <w:t>月</w:t>
      </w:r>
      <w:r>
        <w:rPr>
          <w:rFonts w:hint="eastAsia" w:ascii="Times New Roman" w:hAnsi="Times New Roman"/>
        </w:rPr>
        <w:t>8</w:t>
      </w:r>
      <w:r>
        <w:rPr>
          <w:rFonts w:ascii="Times New Roman" w:hAnsi="Times New Roman"/>
        </w:rPr>
        <w:t>日，采取三种方式（网络、报纸和张贴）进行公示。公示期间未收到公众的反馈意见。同时于202</w:t>
      </w:r>
      <w:r>
        <w:rPr>
          <w:rFonts w:hint="eastAsia" w:ascii="Times New Roman" w:hAnsi="Times New Roman"/>
        </w:rPr>
        <w:t>5</w:t>
      </w:r>
      <w:r>
        <w:rPr>
          <w:rFonts w:ascii="Times New Roman" w:hAnsi="Times New Roman"/>
        </w:rPr>
        <w:t>年</w:t>
      </w:r>
      <w:r>
        <w:rPr>
          <w:rFonts w:hint="eastAsia" w:ascii="Times New Roman" w:hAnsi="Times New Roman"/>
        </w:rPr>
        <w:t>6</w:t>
      </w:r>
      <w:r>
        <w:rPr>
          <w:rFonts w:ascii="Times New Roman" w:hAnsi="Times New Roman"/>
        </w:rPr>
        <w:t>月</w:t>
      </w:r>
      <w:r>
        <w:rPr>
          <w:rFonts w:hint="eastAsia" w:ascii="Times New Roman" w:hAnsi="Times New Roman"/>
        </w:rPr>
        <w:t>~7月</w:t>
      </w:r>
      <w:r>
        <w:rPr>
          <w:rFonts w:ascii="Times New Roman" w:hAnsi="Times New Roman"/>
        </w:rPr>
        <w:t>以问卷形式进行公众调查，未收到反对意见。项目在建设和运营期过程中，我单位将严格按照环境影响报告书以及环评批复要求对项目进行管理，力求将项目对周边环境的影响降至最低。</w:t>
      </w:r>
    </w:p>
    <w:p>
      <w:pPr>
        <w:pStyle w:val="23"/>
        <w:snapToGrid w:val="0"/>
        <w:rPr>
          <w:rFonts w:ascii="Times New Roman" w:hAnsi="Times New Roman"/>
        </w:rPr>
      </w:pPr>
      <w:r>
        <w:rPr>
          <w:rFonts w:ascii="Times New Roman" w:hAnsi="Times New Roman"/>
        </w:rPr>
        <w:t>在本项目环评手续完成后，我单位将对本次公众参与中的相关文件（图片、报纸、公众意见表等）进行存档备查。</w:t>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rPr>
        <w:lang w:val="zh-CN"/>
      </w:rPr>
      <w:t>1</w:t>
    </w:r>
    <w:r>
      <w:fldChar w:fldCharType="end"/>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tentative="0">
      <w:start w:val="1"/>
      <w:numFmt w:val="decimal"/>
      <w:pStyle w:val="2"/>
      <w:lvlText w:val="%1"/>
      <w:lvlJc w:val="left"/>
      <w:pPr>
        <w:tabs>
          <w:tab w:val="left" w:pos="432"/>
        </w:tabs>
        <w:ind w:left="432" w:hanging="432"/>
      </w:pPr>
      <w:rPr>
        <w:rFonts w:hint="default" w:ascii="Times New Roman" w:hAnsi="Times New Roman" w:eastAsia="宋体"/>
        <w:b/>
        <w:i w:val="0"/>
        <w:snapToGrid/>
        <w:spacing w:val="0"/>
        <w:w w:val="100"/>
        <w:kern w:val="32"/>
        <w:position w:val="0"/>
        <w:sz w:val="32"/>
      </w:rPr>
    </w:lvl>
    <w:lvl w:ilvl="1" w:tentative="0">
      <w:start w:val="1"/>
      <w:numFmt w:val="decimal"/>
      <w:pStyle w:val="3"/>
      <w:lvlText w:val="%1.%2"/>
      <w:lvlJc w:val="left"/>
      <w:pPr>
        <w:tabs>
          <w:tab w:val="left" w:pos="576"/>
        </w:tabs>
        <w:ind w:left="576" w:hanging="576"/>
      </w:pPr>
      <w:rPr>
        <w:rFonts w:hint="default" w:ascii="Times New Roman" w:hAnsi="Times New Roman" w:eastAsia="宋体"/>
        <w:b/>
        <w:i w:val="0"/>
        <w:snapToGrid/>
        <w:spacing w:val="0"/>
        <w:w w:val="100"/>
        <w:kern w:val="28"/>
        <w:position w:val="0"/>
        <w:sz w:val="28"/>
      </w:rPr>
    </w:lvl>
    <w:lvl w:ilvl="2" w:tentative="0">
      <w:start w:val="1"/>
      <w:numFmt w:val="decimal"/>
      <w:pStyle w:val="4"/>
      <w:lvlText w:val="%1.%2.%3"/>
      <w:lvlJc w:val="left"/>
      <w:pPr>
        <w:tabs>
          <w:tab w:val="left" w:pos="4320"/>
        </w:tabs>
        <w:ind w:left="4320" w:hanging="720"/>
      </w:pPr>
      <w:rPr>
        <w:rFonts w:hint="default" w:ascii="Times New Roman" w:hAnsi="Times New Roman" w:eastAsia="宋体" w:cs="Times New Roman"/>
        <w:b/>
        <w:bCs/>
        <w:i w:val="0"/>
        <w:iCs w:val="0"/>
        <w:caps w:val="0"/>
        <w:smallCaps w:val="0"/>
        <w:strike w:val="0"/>
        <w:dstrike w:val="0"/>
        <w:snapToGrid/>
        <w:color w:val="000000"/>
        <w:spacing w:val="0"/>
        <w:w w:val="100"/>
        <w:kern w:val="0"/>
        <w:position w:val="0"/>
        <w:sz w:val="24"/>
        <w:u w:val="none"/>
        <w:shd w:val="clear" w:color="auto" w:fill="auto"/>
        <w14:shadow w14:blurRad="0" w14:dist="0" w14:dir="0" w14:sx="0" w14:sy="0" w14:kx="0" w14:ky="0" w14:algn="none">
          <w14:srgbClr w14:val="000000"/>
        </w14:shadow>
      </w:rPr>
    </w:lvl>
    <w:lvl w:ilvl="3" w:tentative="0">
      <w:start w:val="1"/>
      <w:numFmt w:val="decimal"/>
      <w:pStyle w:val="5"/>
      <w:lvlText w:val="%1.%2.%3.%4"/>
      <w:lvlJc w:val="left"/>
      <w:pPr>
        <w:tabs>
          <w:tab w:val="left" w:pos="864"/>
        </w:tabs>
        <w:ind w:left="864" w:hanging="864"/>
      </w:pPr>
      <w:rPr>
        <w:rFonts w:hint="default" w:ascii="Times New Roman" w:hAnsi="Times New Roman" w:eastAsia="宋体"/>
        <w:b/>
        <w:bCs w:val="0"/>
        <w:i w:val="0"/>
        <w:iCs w:val="0"/>
        <w:caps w:val="0"/>
        <w:smallCaps w:val="0"/>
        <w:strike w:val="0"/>
        <w:dstrike w:val="0"/>
        <w:snapToGrid/>
        <w:color w:val="000000"/>
        <w:spacing w:val="0"/>
        <w:w w:val="100"/>
        <w:kern w:val="0"/>
        <w:position w:val="0"/>
        <w:sz w:val="24"/>
        <w:u w:val="none"/>
        <w:shd w:val="clear" w:color="auto" w:fill="auto"/>
        <w14:shadow w14:blurRad="0" w14:dist="0" w14:dir="0" w14:sx="0" w14:sy="0" w14:kx="0" w14:ky="0" w14:algn="none">
          <w14:srgbClr w14:val="000000"/>
        </w14:shadow>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75F"/>
    <w:rsid w:val="00006F61"/>
    <w:rsid w:val="00007EB6"/>
    <w:rsid w:val="000110EA"/>
    <w:rsid w:val="00041F43"/>
    <w:rsid w:val="00043C2B"/>
    <w:rsid w:val="00043C2F"/>
    <w:rsid w:val="000469B6"/>
    <w:rsid w:val="00047429"/>
    <w:rsid w:val="0005133C"/>
    <w:rsid w:val="00061BCC"/>
    <w:rsid w:val="00062AE7"/>
    <w:rsid w:val="000651C1"/>
    <w:rsid w:val="000760C5"/>
    <w:rsid w:val="000B0F3F"/>
    <w:rsid w:val="000B7D3B"/>
    <w:rsid w:val="000E11BC"/>
    <w:rsid w:val="00111439"/>
    <w:rsid w:val="00112E0D"/>
    <w:rsid w:val="00125708"/>
    <w:rsid w:val="001422A8"/>
    <w:rsid w:val="001C4C3B"/>
    <w:rsid w:val="001F3985"/>
    <w:rsid w:val="00212DC1"/>
    <w:rsid w:val="00221357"/>
    <w:rsid w:val="00233E5F"/>
    <w:rsid w:val="002364B0"/>
    <w:rsid w:val="00236DE0"/>
    <w:rsid w:val="00253256"/>
    <w:rsid w:val="00257DB3"/>
    <w:rsid w:val="00262A0D"/>
    <w:rsid w:val="0026760C"/>
    <w:rsid w:val="002929AB"/>
    <w:rsid w:val="002F1734"/>
    <w:rsid w:val="00303186"/>
    <w:rsid w:val="0030501C"/>
    <w:rsid w:val="00313926"/>
    <w:rsid w:val="00316AF1"/>
    <w:rsid w:val="003236AE"/>
    <w:rsid w:val="003440F3"/>
    <w:rsid w:val="00345324"/>
    <w:rsid w:val="0035578C"/>
    <w:rsid w:val="0038138C"/>
    <w:rsid w:val="00394F67"/>
    <w:rsid w:val="00395DB3"/>
    <w:rsid w:val="003B18E4"/>
    <w:rsid w:val="003C47D0"/>
    <w:rsid w:val="003C5287"/>
    <w:rsid w:val="003D17B1"/>
    <w:rsid w:val="003D1A5B"/>
    <w:rsid w:val="003D4F6E"/>
    <w:rsid w:val="003D7648"/>
    <w:rsid w:val="003E7762"/>
    <w:rsid w:val="003F30A3"/>
    <w:rsid w:val="0042578E"/>
    <w:rsid w:val="00453D79"/>
    <w:rsid w:val="00465666"/>
    <w:rsid w:val="00473FEF"/>
    <w:rsid w:val="0048045F"/>
    <w:rsid w:val="004970DA"/>
    <w:rsid w:val="004B3CCE"/>
    <w:rsid w:val="004B4424"/>
    <w:rsid w:val="004B6844"/>
    <w:rsid w:val="004E1679"/>
    <w:rsid w:val="004F5B9E"/>
    <w:rsid w:val="005310E9"/>
    <w:rsid w:val="005402B8"/>
    <w:rsid w:val="005479E8"/>
    <w:rsid w:val="00555591"/>
    <w:rsid w:val="00566AD9"/>
    <w:rsid w:val="0058796E"/>
    <w:rsid w:val="005964CE"/>
    <w:rsid w:val="005D31BA"/>
    <w:rsid w:val="005E37FD"/>
    <w:rsid w:val="0060199F"/>
    <w:rsid w:val="00601DF8"/>
    <w:rsid w:val="00613009"/>
    <w:rsid w:val="0063477D"/>
    <w:rsid w:val="00655E08"/>
    <w:rsid w:val="00696844"/>
    <w:rsid w:val="006E7FD6"/>
    <w:rsid w:val="00712979"/>
    <w:rsid w:val="00722477"/>
    <w:rsid w:val="00750DEB"/>
    <w:rsid w:val="00774567"/>
    <w:rsid w:val="00787755"/>
    <w:rsid w:val="007950D5"/>
    <w:rsid w:val="00796E0F"/>
    <w:rsid w:val="007A7283"/>
    <w:rsid w:val="007B0396"/>
    <w:rsid w:val="007C2C12"/>
    <w:rsid w:val="007C4640"/>
    <w:rsid w:val="0080110D"/>
    <w:rsid w:val="00806AD1"/>
    <w:rsid w:val="00813CF8"/>
    <w:rsid w:val="00816A02"/>
    <w:rsid w:val="00850962"/>
    <w:rsid w:val="00864049"/>
    <w:rsid w:val="00872BD1"/>
    <w:rsid w:val="0087614A"/>
    <w:rsid w:val="0088038F"/>
    <w:rsid w:val="008B42E2"/>
    <w:rsid w:val="008C211C"/>
    <w:rsid w:val="008D4FBD"/>
    <w:rsid w:val="008E22F5"/>
    <w:rsid w:val="00905A7C"/>
    <w:rsid w:val="0091298E"/>
    <w:rsid w:val="009172B9"/>
    <w:rsid w:val="00933E4F"/>
    <w:rsid w:val="00953207"/>
    <w:rsid w:val="00956952"/>
    <w:rsid w:val="00967BFF"/>
    <w:rsid w:val="00985E4D"/>
    <w:rsid w:val="009A2C5F"/>
    <w:rsid w:val="009A508E"/>
    <w:rsid w:val="009B132F"/>
    <w:rsid w:val="009F5C14"/>
    <w:rsid w:val="00A1172B"/>
    <w:rsid w:val="00A13D38"/>
    <w:rsid w:val="00A14142"/>
    <w:rsid w:val="00A14EDA"/>
    <w:rsid w:val="00A26B4E"/>
    <w:rsid w:val="00A322C7"/>
    <w:rsid w:val="00A426D7"/>
    <w:rsid w:val="00A727CF"/>
    <w:rsid w:val="00A822C4"/>
    <w:rsid w:val="00A9026A"/>
    <w:rsid w:val="00A97388"/>
    <w:rsid w:val="00AA3D54"/>
    <w:rsid w:val="00AA3E77"/>
    <w:rsid w:val="00AB0D47"/>
    <w:rsid w:val="00AB26DB"/>
    <w:rsid w:val="00AB28BE"/>
    <w:rsid w:val="00AB52EA"/>
    <w:rsid w:val="00AC3307"/>
    <w:rsid w:val="00AF1F87"/>
    <w:rsid w:val="00B05EA5"/>
    <w:rsid w:val="00B266CC"/>
    <w:rsid w:val="00B330D3"/>
    <w:rsid w:val="00B3407C"/>
    <w:rsid w:val="00B3607A"/>
    <w:rsid w:val="00B564BF"/>
    <w:rsid w:val="00B6370D"/>
    <w:rsid w:val="00B854AE"/>
    <w:rsid w:val="00BC6089"/>
    <w:rsid w:val="00BD041A"/>
    <w:rsid w:val="00BE43A3"/>
    <w:rsid w:val="00BF2827"/>
    <w:rsid w:val="00BF2B3A"/>
    <w:rsid w:val="00C066E1"/>
    <w:rsid w:val="00C12B4A"/>
    <w:rsid w:val="00C670D1"/>
    <w:rsid w:val="00C836BC"/>
    <w:rsid w:val="00CE1A09"/>
    <w:rsid w:val="00CE2528"/>
    <w:rsid w:val="00CE4F62"/>
    <w:rsid w:val="00CF6405"/>
    <w:rsid w:val="00D16416"/>
    <w:rsid w:val="00D242B9"/>
    <w:rsid w:val="00D32805"/>
    <w:rsid w:val="00D42340"/>
    <w:rsid w:val="00D50A2D"/>
    <w:rsid w:val="00D607EA"/>
    <w:rsid w:val="00D64877"/>
    <w:rsid w:val="00D81057"/>
    <w:rsid w:val="00DA55ED"/>
    <w:rsid w:val="00DD0F32"/>
    <w:rsid w:val="00DE3551"/>
    <w:rsid w:val="00DE3D00"/>
    <w:rsid w:val="00DF5B03"/>
    <w:rsid w:val="00E12C81"/>
    <w:rsid w:val="00E231F1"/>
    <w:rsid w:val="00E328B5"/>
    <w:rsid w:val="00E42916"/>
    <w:rsid w:val="00E54E4F"/>
    <w:rsid w:val="00E70DA7"/>
    <w:rsid w:val="00EA3D0F"/>
    <w:rsid w:val="00EA4D11"/>
    <w:rsid w:val="00EA68AA"/>
    <w:rsid w:val="00EB333B"/>
    <w:rsid w:val="00ED1E02"/>
    <w:rsid w:val="00F127DA"/>
    <w:rsid w:val="00F202A2"/>
    <w:rsid w:val="00F352A9"/>
    <w:rsid w:val="00F367B3"/>
    <w:rsid w:val="00F4098A"/>
    <w:rsid w:val="00F6075F"/>
    <w:rsid w:val="00F73152"/>
    <w:rsid w:val="00F84C84"/>
    <w:rsid w:val="00F914C3"/>
    <w:rsid w:val="00F91EB4"/>
    <w:rsid w:val="00F94134"/>
    <w:rsid w:val="00FD0184"/>
    <w:rsid w:val="00FF633F"/>
    <w:rsid w:val="1A033049"/>
    <w:rsid w:val="3C6E2A26"/>
    <w:rsid w:val="48D70F63"/>
    <w:rsid w:val="64FF7E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qFormat="1"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9"/>
    <w:qFormat/>
    <w:uiPriority w:val="0"/>
    <w:pPr>
      <w:keepNext/>
      <w:keepLines/>
      <w:numPr>
        <w:ilvl w:val="0"/>
        <w:numId w:val="1"/>
      </w:numPr>
      <w:spacing w:line="360" w:lineRule="auto"/>
      <w:outlineLvl w:val="0"/>
    </w:pPr>
    <w:rPr>
      <w:b/>
      <w:kern w:val="44"/>
      <w:sz w:val="32"/>
      <w:szCs w:val="44"/>
    </w:rPr>
  </w:style>
  <w:style w:type="paragraph" w:styleId="3">
    <w:name w:val="heading 2"/>
    <w:basedOn w:val="1"/>
    <w:next w:val="1"/>
    <w:link w:val="20"/>
    <w:qFormat/>
    <w:uiPriority w:val="0"/>
    <w:pPr>
      <w:keepNext/>
      <w:keepLines/>
      <w:numPr>
        <w:ilvl w:val="1"/>
        <w:numId w:val="1"/>
      </w:numPr>
      <w:tabs>
        <w:tab w:val="left" w:pos="432"/>
      </w:tabs>
      <w:spacing w:line="360" w:lineRule="auto"/>
      <w:outlineLvl w:val="1"/>
    </w:pPr>
    <w:rPr>
      <w:b/>
      <w:bCs/>
      <w:kern w:val="44"/>
      <w:sz w:val="28"/>
      <w:szCs w:val="32"/>
    </w:rPr>
  </w:style>
  <w:style w:type="paragraph" w:styleId="4">
    <w:name w:val="heading 3"/>
    <w:basedOn w:val="1"/>
    <w:next w:val="1"/>
    <w:link w:val="21"/>
    <w:qFormat/>
    <w:uiPriority w:val="0"/>
    <w:pPr>
      <w:keepNext/>
      <w:keepLines/>
      <w:numPr>
        <w:ilvl w:val="2"/>
        <w:numId w:val="1"/>
      </w:numPr>
      <w:adjustRightInd w:val="0"/>
      <w:snapToGrid w:val="0"/>
      <w:spacing w:line="360" w:lineRule="auto"/>
      <w:outlineLvl w:val="2"/>
    </w:pPr>
    <w:rPr>
      <w:b/>
      <w:bCs/>
      <w:snapToGrid w:val="0"/>
      <w:kern w:val="44"/>
      <w:sz w:val="24"/>
      <w:szCs w:val="32"/>
    </w:rPr>
  </w:style>
  <w:style w:type="paragraph" w:styleId="5">
    <w:name w:val="heading 4"/>
    <w:basedOn w:val="1"/>
    <w:next w:val="1"/>
    <w:link w:val="22"/>
    <w:qFormat/>
    <w:uiPriority w:val="0"/>
    <w:pPr>
      <w:keepNext/>
      <w:keepLines/>
      <w:numPr>
        <w:ilvl w:val="3"/>
        <w:numId w:val="1"/>
      </w:numPr>
      <w:adjustRightInd w:val="0"/>
      <w:snapToGrid w:val="0"/>
      <w:spacing w:line="360" w:lineRule="auto"/>
      <w:outlineLvl w:val="3"/>
    </w:pPr>
    <w:rPr>
      <w:b/>
      <w:bCs/>
      <w:snapToGrid w:val="0"/>
      <w:kern w:val="44"/>
      <w:sz w:val="24"/>
      <w:szCs w:val="28"/>
    </w:rPr>
  </w:style>
  <w:style w:type="character" w:default="1" w:styleId="12">
    <w:name w:val="Default Paragraph Font"/>
    <w:semiHidden/>
    <w:unhideWhenUsed/>
    <w:uiPriority w:val="1"/>
  </w:style>
  <w:style w:type="table" w:default="1" w:styleId="15">
    <w:name w:val="Normal Table"/>
    <w:semiHidden/>
    <w:unhideWhenUsed/>
    <w:uiPriority w:val="99"/>
    <w:tblPr>
      <w:tblLayout w:type="fixed"/>
      <w:tblCellMar>
        <w:top w:w="0" w:type="dxa"/>
        <w:left w:w="108" w:type="dxa"/>
        <w:bottom w:w="0" w:type="dxa"/>
        <w:right w:w="108" w:type="dxa"/>
      </w:tblCellMar>
    </w:tblPr>
  </w:style>
  <w:style w:type="paragraph" w:styleId="6">
    <w:name w:val="table of authorities"/>
    <w:basedOn w:val="1"/>
    <w:next w:val="1"/>
    <w:unhideWhenUsed/>
    <w:qFormat/>
    <w:uiPriority w:val="0"/>
    <w:pPr>
      <w:ind w:left="420" w:leftChars="200"/>
      <w:jc w:val="left"/>
    </w:pPr>
    <w:rPr>
      <w:szCs w:val="22"/>
    </w:rPr>
  </w:style>
  <w:style w:type="paragraph" w:styleId="7">
    <w:name w:val="annotation text"/>
    <w:basedOn w:val="1"/>
    <w:qFormat/>
    <w:uiPriority w:val="0"/>
    <w:pPr>
      <w:jc w:val="left"/>
    </w:p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spacing w:before="120" w:after="120" w:line="360" w:lineRule="auto"/>
      <w:jc w:val="left"/>
    </w:pPr>
    <w:rPr>
      <w:b/>
      <w:bCs/>
      <w:caps/>
      <w:kern w:val="44"/>
      <w:sz w:val="20"/>
      <w:szCs w:val="20"/>
    </w:rPr>
  </w:style>
  <w:style w:type="paragraph" w:styleId="11">
    <w:name w:val="toc 2"/>
    <w:basedOn w:val="1"/>
    <w:next w:val="1"/>
    <w:qFormat/>
    <w:uiPriority w:val="39"/>
    <w:pPr>
      <w:spacing w:line="360" w:lineRule="auto"/>
      <w:ind w:left="240"/>
      <w:jc w:val="left"/>
    </w:pPr>
    <w:rPr>
      <w:smallCaps/>
      <w:kern w:val="44"/>
      <w:sz w:val="20"/>
      <w:szCs w:val="20"/>
    </w:rPr>
  </w:style>
  <w:style w:type="character" w:styleId="13">
    <w:name w:val="Hyperlink"/>
    <w:qFormat/>
    <w:uiPriority w:val="99"/>
    <w:rPr>
      <w:color w:val="0000FF"/>
      <w:u w:val="single"/>
    </w:rPr>
  </w:style>
  <w:style w:type="character" w:styleId="14">
    <w:name w:val="annotation reference"/>
    <w:qFormat/>
    <w:uiPriority w:val="0"/>
    <w:rPr>
      <w:sz w:val="21"/>
      <w:szCs w:val="21"/>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7">
    <w:name w:val="页眉 字符"/>
    <w:basedOn w:val="12"/>
    <w:link w:val="9"/>
    <w:qFormat/>
    <w:uiPriority w:val="99"/>
    <w:rPr>
      <w:sz w:val="18"/>
      <w:szCs w:val="18"/>
    </w:rPr>
  </w:style>
  <w:style w:type="character" w:customStyle="1" w:styleId="18">
    <w:name w:val="页脚 字符"/>
    <w:basedOn w:val="12"/>
    <w:link w:val="8"/>
    <w:qFormat/>
    <w:uiPriority w:val="99"/>
    <w:rPr>
      <w:sz w:val="18"/>
      <w:szCs w:val="18"/>
    </w:rPr>
  </w:style>
  <w:style w:type="character" w:customStyle="1" w:styleId="19">
    <w:name w:val="标题 1 字符"/>
    <w:basedOn w:val="12"/>
    <w:link w:val="2"/>
    <w:qFormat/>
    <w:uiPriority w:val="0"/>
    <w:rPr>
      <w:rFonts w:ascii="Times New Roman" w:hAnsi="Times New Roman" w:eastAsia="宋体" w:cs="Times New Roman"/>
      <w:b/>
      <w:kern w:val="44"/>
      <w:sz w:val="32"/>
      <w:szCs w:val="44"/>
    </w:rPr>
  </w:style>
  <w:style w:type="character" w:customStyle="1" w:styleId="20">
    <w:name w:val="标题 2 字符"/>
    <w:basedOn w:val="12"/>
    <w:link w:val="3"/>
    <w:qFormat/>
    <w:uiPriority w:val="0"/>
    <w:rPr>
      <w:rFonts w:ascii="Times New Roman" w:hAnsi="Times New Roman" w:eastAsia="宋体" w:cs="Times New Roman"/>
      <w:b/>
      <w:bCs/>
      <w:kern w:val="44"/>
      <w:sz w:val="28"/>
      <w:szCs w:val="32"/>
    </w:rPr>
  </w:style>
  <w:style w:type="character" w:customStyle="1" w:styleId="21">
    <w:name w:val="标题 3 字符"/>
    <w:basedOn w:val="12"/>
    <w:link w:val="4"/>
    <w:qFormat/>
    <w:uiPriority w:val="0"/>
    <w:rPr>
      <w:rFonts w:ascii="Times New Roman" w:hAnsi="Times New Roman" w:eastAsia="宋体" w:cs="Times New Roman"/>
      <w:b/>
      <w:bCs/>
      <w:snapToGrid w:val="0"/>
      <w:kern w:val="44"/>
      <w:sz w:val="24"/>
      <w:szCs w:val="32"/>
    </w:rPr>
  </w:style>
  <w:style w:type="character" w:customStyle="1" w:styleId="22">
    <w:name w:val="标题 4 字符"/>
    <w:basedOn w:val="12"/>
    <w:link w:val="5"/>
    <w:qFormat/>
    <w:uiPriority w:val="0"/>
    <w:rPr>
      <w:rFonts w:ascii="Times New Roman" w:hAnsi="Times New Roman" w:eastAsia="宋体" w:cs="Times New Roman"/>
      <w:b/>
      <w:bCs/>
      <w:snapToGrid w:val="0"/>
      <w:kern w:val="44"/>
      <w:sz w:val="24"/>
      <w:szCs w:val="28"/>
    </w:rPr>
  </w:style>
  <w:style w:type="paragraph" w:customStyle="1" w:styleId="23">
    <w:name w:val="WJJ正文"/>
    <w:basedOn w:val="1"/>
    <w:next w:val="1"/>
    <w:link w:val="24"/>
    <w:qFormat/>
    <w:uiPriority w:val="0"/>
    <w:pPr>
      <w:spacing w:line="360" w:lineRule="auto"/>
      <w:ind w:firstLine="482"/>
    </w:pPr>
    <w:rPr>
      <w:rFonts w:ascii="宋体" w:hAnsi="宋体"/>
      <w:sz w:val="24"/>
      <w:lang w:val="zh-CN"/>
    </w:rPr>
  </w:style>
  <w:style w:type="character" w:customStyle="1" w:styleId="24">
    <w:name w:val="WJJ正文 Char"/>
    <w:link w:val="23"/>
    <w:qFormat/>
    <w:uiPriority w:val="0"/>
    <w:rPr>
      <w:rFonts w:ascii="宋体" w:hAnsi="宋体" w:eastAsia="宋体" w:cs="Times New Roman"/>
      <w:sz w:val="24"/>
      <w:szCs w:val="24"/>
      <w:lang w:val="zh-CN" w:eastAsia="zh-CN"/>
    </w:rPr>
  </w:style>
  <w:style w:type="paragraph" w:customStyle="1" w:styleId="25">
    <w:name w:val="luna标题3"/>
    <w:basedOn w:val="4"/>
    <w:link w:val="26"/>
    <w:qFormat/>
    <w:uiPriority w:val="0"/>
    <w:pPr>
      <w:keepLines w:val="0"/>
      <w:tabs>
        <w:tab w:val="left" w:pos="432"/>
        <w:tab w:val="clear" w:pos="4320"/>
      </w:tabs>
      <w:ind w:left="431" w:hanging="431"/>
    </w:pPr>
    <w:rPr>
      <w:kern w:val="2"/>
      <w:szCs w:val="24"/>
      <w:lang w:val="zh-CN"/>
    </w:rPr>
  </w:style>
  <w:style w:type="character" w:customStyle="1" w:styleId="26">
    <w:name w:val="luna标题3 Char"/>
    <w:link w:val="25"/>
    <w:qFormat/>
    <w:uiPriority w:val="0"/>
    <w:rPr>
      <w:rFonts w:ascii="Times New Roman" w:hAnsi="Times New Roman" w:eastAsia="宋体" w:cs="Times New Roman"/>
      <w:b/>
      <w:bCs/>
      <w:snapToGrid w:val="0"/>
      <w:sz w:val="24"/>
      <w:szCs w:val="24"/>
      <w:lang w:val="zh-CN" w:eastAsia="zh-CN"/>
    </w:rPr>
  </w:style>
  <w:style w:type="paragraph" w:customStyle="1" w:styleId="27">
    <w:name w:val="Luna正文"/>
    <w:basedOn w:val="1"/>
    <w:next w:val="1"/>
    <w:link w:val="28"/>
    <w:qFormat/>
    <w:uiPriority w:val="0"/>
    <w:pPr>
      <w:tabs>
        <w:tab w:val="left" w:pos="600"/>
      </w:tabs>
      <w:spacing w:line="360" w:lineRule="auto"/>
      <w:ind w:firstLine="200" w:firstLineChars="200"/>
    </w:pPr>
    <w:rPr>
      <w:color w:val="000000"/>
      <w:sz w:val="24"/>
      <w:lang w:val="zh-CN"/>
    </w:rPr>
  </w:style>
  <w:style w:type="character" w:customStyle="1" w:styleId="28">
    <w:name w:val="Luna正文 Char"/>
    <w:link w:val="27"/>
    <w:qFormat/>
    <w:uiPriority w:val="0"/>
    <w:rPr>
      <w:rFonts w:ascii="Times New Roman" w:hAnsi="Times New Roman" w:eastAsia="宋体" w:cs="Times New Roman"/>
      <w:color w:val="000000"/>
      <w:sz w:val="24"/>
      <w:szCs w:val="24"/>
      <w:lang w:val="zh-CN" w:eastAsia="zh-CN"/>
    </w:rPr>
  </w:style>
  <w:style w:type="character" w:customStyle="1" w:styleId="29">
    <w:name w:val="Char Char1"/>
    <w:qFormat/>
    <w:uiPriority w:val="0"/>
    <w:rPr>
      <w:rFonts w:hint="eastAsia" w:ascii="宋体" w:hAnsi="宋体" w:eastAsia="宋体"/>
      <w:kern w:val="2"/>
      <w:sz w:val="2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02FABD-488D-4657-A504-9F70C2FE9383}">
  <ds:schemaRefs/>
</ds:datastoreItem>
</file>

<file path=docProps/app.xml><?xml version="1.0" encoding="utf-8"?>
<Properties xmlns="http://schemas.openxmlformats.org/officeDocument/2006/extended-properties" xmlns:vt="http://schemas.openxmlformats.org/officeDocument/2006/docPropsVTypes">
  <Template>Normal.dotm</Template>
  <Pages>21</Pages>
  <Words>1672</Words>
  <Characters>9537</Characters>
  <Lines>79</Lines>
  <Paragraphs>22</Paragraphs>
  <TotalTime>1074</TotalTime>
  <ScaleCrop>false</ScaleCrop>
  <LinksUpToDate>false</LinksUpToDate>
  <CharactersWithSpaces>11187</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2021-10-12T05:13:00Z</dcterms:created>
  <dc:creator>chan Rachel</dc:creator>
  <cp:lastModifiedBy>Administrator</cp:lastModifiedBy>
  <cp:lastPrinted>2025-08-28T04:19:00Z</cp:lastPrinted>
  <dcterms:modified xsi:type="dcterms:W3CDTF">2025-08-29T06:40:57Z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ACD0761E6C134984998C8821E76E9AC6</vt:lpwstr>
  </property>
</Properties>
</file>