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投  标  函</w:t>
      </w:r>
    </w:p>
    <w:bookmarkEnd w:id="0"/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11"/>
          <w:szCs w:val="11"/>
        </w:rPr>
      </w:pPr>
    </w:p>
    <w:p>
      <w:pPr>
        <w:snapToGrid w:val="0"/>
        <w:spacing w:line="360" w:lineRule="auto"/>
        <w:jc w:val="left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郎岱镇人民政府  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1、我方完全知晓六枝特区郎岱镇</w:t>
      </w:r>
      <w:r>
        <w:rPr>
          <w:rFonts w:hint="eastAsia" w:ascii="宋体" w:hAnsi="宋体"/>
          <w:sz w:val="28"/>
          <w:szCs w:val="28"/>
          <w:lang w:eastAsia="zh-CN"/>
        </w:rPr>
        <w:t>提质改造项目</w:t>
      </w:r>
      <w:r>
        <w:rPr>
          <w:rFonts w:hint="eastAsia" w:ascii="宋体" w:hAnsi="宋体"/>
          <w:sz w:val="28"/>
          <w:szCs w:val="28"/>
        </w:rPr>
        <w:t>结算审计及财务审计拟选审计单位竞争性谈判文件的全部要求，愿意按要求完成六枝特区郎岱镇</w:t>
      </w:r>
      <w:r>
        <w:rPr>
          <w:rFonts w:hint="eastAsia" w:ascii="宋体" w:hAnsi="宋体"/>
          <w:sz w:val="28"/>
          <w:szCs w:val="28"/>
          <w:lang w:eastAsia="zh-CN"/>
        </w:rPr>
        <w:t>提质改造项目</w:t>
      </w:r>
      <w:r>
        <w:rPr>
          <w:rFonts w:hint="eastAsia" w:ascii="宋体" w:hAnsi="宋体"/>
          <w:sz w:val="28"/>
          <w:szCs w:val="28"/>
        </w:rPr>
        <w:t>结算审计及财务审计报价如下：</w:t>
      </w:r>
    </w:p>
    <w:p>
      <w:pPr>
        <w:snapToGrid w:val="0"/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2、报价明细</w:t>
      </w:r>
    </w:p>
    <w:tbl>
      <w:tblPr>
        <w:tblStyle w:val="3"/>
        <w:tblW w:w="8956" w:type="dxa"/>
        <w:tblInd w:w="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054"/>
        <w:gridCol w:w="1616"/>
        <w:gridCol w:w="1770"/>
        <w:gridCol w:w="1594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45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收费标准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基数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5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六枝特区郎岱镇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提质改造项目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审核工程结算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及财务审计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基本收费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执行黔价房[2012]86号，核减/增额5%为基数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下浮率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45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追加费用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(核减/增额)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95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上述费用不足2000.00元，按2000.00元计算</w:t>
            </w:r>
          </w:p>
        </w:tc>
      </w:tr>
    </w:tbl>
    <w:p>
      <w:pPr>
        <w:snapToGrid w:val="0"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3、如我方中标：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3.1我方必须严格按照郎岱镇人民政府要求履行职责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3.2我方承诺在收到中标通知后，在书规定的期限内与你方签订合同。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4、我方在此声明，所递交的投标文件及有关资料内容完整、真实和准确。</w:t>
      </w: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投 标 人：                          </w:t>
      </w: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法定代表人或委托代理人：     （签字或签章）    </w:t>
      </w: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</w:t>
      </w:r>
    </w:p>
    <w:p>
      <w:r>
        <w:rPr>
          <w:rFonts w:hint="eastAsia" w:ascii="宋体" w:hAnsi="宋体"/>
          <w:sz w:val="28"/>
          <w:szCs w:val="28"/>
        </w:rPr>
        <w:t xml:space="preserve">                                             年    月 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48"/>
    <w:rsid w:val="00024ABB"/>
    <w:rsid w:val="005D4548"/>
    <w:rsid w:val="006E344D"/>
    <w:rsid w:val="00744E2D"/>
    <w:rsid w:val="00787769"/>
    <w:rsid w:val="0085660D"/>
    <w:rsid w:val="008A6EAD"/>
    <w:rsid w:val="008D4022"/>
    <w:rsid w:val="00A0316C"/>
    <w:rsid w:val="00A17495"/>
    <w:rsid w:val="00AD2C28"/>
    <w:rsid w:val="00B55B82"/>
    <w:rsid w:val="00B83BCB"/>
    <w:rsid w:val="00C2256F"/>
    <w:rsid w:val="00D318C0"/>
    <w:rsid w:val="00D5127F"/>
    <w:rsid w:val="14136E6B"/>
    <w:rsid w:val="14D074B7"/>
    <w:rsid w:val="2F085B2A"/>
    <w:rsid w:val="46DB17A7"/>
    <w:rsid w:val="5DA9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123</Words>
  <Characters>706</Characters>
  <Lines>5</Lines>
  <Paragraphs>1</Paragraphs>
  <TotalTime>2</TotalTime>
  <ScaleCrop>false</ScaleCrop>
  <LinksUpToDate>false</LinksUpToDate>
  <CharactersWithSpaces>828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2021-01-31T02:07:00Z</dcterms:created>
  <dc:creator>123</dc:creator>
  <cp:lastModifiedBy>Administrator</cp:lastModifiedBy>
  <dcterms:modified xsi:type="dcterms:W3CDTF">2021-03-11T06:13:43Z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