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附件</w:t>
      </w:r>
    </w:p>
    <w:p>
      <w:pPr>
        <w:pStyle w:val=""/>
        <w:jc w:val="center"/>
        <w:ind w:left="0"/>
        <w:ind w:right="0"/>
        <w:ind w:firstLine="0"/>
        <w:pageBreakBefore w:val="0"/>
        <w:spacing w:before="0" w:after="0" w:line="660" w:lineRule="exact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</w:t>
      </w:r>
      <w:r>
        <w:rPr>
          <w:rFonts w:ascii="方正小标宋简体" w:hAnsi="方正小标宋简体"/>
          <w:sz w:val="44"/>
          <w:szCs w:val="44"/>
        </w:rPr>
        <w:t>2</w:t>
      </w:r>
      <w:r>
        <w:rPr>
          <w:rFonts w:ascii="方正小标宋简体" w:hAnsi="方正小标宋简体"/>
          <w:sz w:val="44"/>
          <w:szCs w:val="44"/>
        </w:rPr>
        <w:t>年度</w:t>
      </w:r>
      <w:r>
        <w:rPr>
          <w:rFonts w:ascii="方正小标宋简体" w:hAnsi="方正小标宋简体"/>
          <w:sz w:val="44"/>
          <w:szCs w:val="44"/>
        </w:rPr>
        <w:t>行政执法数据统计表</w:t>
      </w:r>
    </w:p>
    <w:p>
      <w:pPr>
        <w:pStyle w:val=""/>
        <w:jc w:val="center"/>
        <w:ind w:left="0"/>
        <w:ind w:right="0"/>
        <w:ind w:firstLine="0"/>
        <w:pageBreakBefore w:val="0"/>
        <w:spacing w:before="0" w:after="0" w:line="660" w:lineRule="exact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（1月—12月）</w:t>
      </w:r>
    </w:p>
    <w:p>
      <w:pPr>
        <w:pStyle w:val=""/>
        <w:jc w:val="lef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填报单位（盖章）：</w:t>
      </w:r>
      <w:r>
        <w:rPr>
          <w:rFonts w:ascii="Times New Roman" w:hAnsi="Times New Roman"/>
          <w:sz w:val="28"/>
          <w:szCs w:val="28"/>
        </w:rPr>
        <w:t>六枝特区民族宗教事务局</w:t>
      </w:r>
      <w:r>
        <w:rPr>
          <w:rFonts w:ascii="Times New Roman" w:hAnsi="Times New Roman"/>
          <w:sz w:val="28"/>
          <w:szCs w:val="28"/>
        </w:rPr>
        <w:t xml:space="preserve">        填表人：</w:t>
      </w:r>
      <w:r>
        <w:rPr>
          <w:rFonts w:ascii="Times New Roman" w:hAnsi="Times New Roman"/>
          <w:sz w:val="28"/>
          <w:szCs w:val="28"/>
        </w:rPr>
        <w:t>索碧琴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填表日期：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 </w:t>
      </w:r>
      <w:r>
        <w:rPr>
          <w:rFonts w:ascii="Times New Roman" w:hAnsi="Times New Roman"/>
          <w:sz w:val="28"/>
          <w:szCs w:val="28"/>
        </w:rPr>
        <w:t xml:space="preserve">日   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</w:tblPr>
      <w:tblGrid>
        <w:gridCol w:w="1756"/>
        <w:gridCol w:w="1675"/>
        <w:gridCol w:w="1712"/>
        <w:gridCol w:w="1304"/>
        <w:gridCol w:w="1650"/>
        <w:gridCol w:w="1462"/>
        <w:gridCol w:w="1763"/>
        <w:gridCol w:w="1296"/>
        <w:gridCol w:w="1116"/>
        <w:gridCol w:w="1134"/>
      </w:tblGrid>
      <w:tr>
        <w:trPr>
          <w:trHeight w:val="902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行政处罚（件）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行政许可（件）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公开行政权力事项（项）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行政强制（件）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重大执法决定法制审核件数（件）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“双随机、一公开”检查（次）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移送司法机关追究刑事责任（件）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接受司法机关移送的案件（件）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移送公职人员涉嫌犯罪案件线索到监察机关</w:t>
            </w:r>
          </w:p>
        </w:tc>
      </w:tr>
      <w:tr>
        <w:trPr>
          <w:trHeight w:val="765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条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人</w:t>
            </w:r>
          </w:p>
        </w:tc>
      </w:tr>
      <w:tr>
        <w:trPr>
          <w:trHeight w:val="850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21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3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</w:tr>
      <w:tr>
        <w:trPr>
          <w:trHeight w:val="965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公开执法案件数（件）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归档执法案卷数（件）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公开行政权力运行流程图（张）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行政征收（件）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行政征用（件）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执法经费投入(万元)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持证行政执法人员数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执法记录仪配备（台）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执法人员培训情况</w:t>
            </w:r>
          </w:p>
        </w:tc>
      </w:tr>
      <w:tr>
        <w:trPr>
          <w:trHeight w:val="795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场次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人</w:t>
            </w:r>
          </w:p>
        </w:tc>
      </w:tr>
      <w:tr>
        <w:trPr>
          <w:trHeight w:val="799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7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00" w:lineRule="exact"/>
            </w:pPr>
            <w:r>
              <w:rPr>
                <w:rFonts w:ascii="仿宋_GB2312" w:hAnsi="仿宋_GB2312"/>
                <w:sz w:val="24"/>
                <w:szCs w:val="24"/>
              </w:rPr>
              <w:t>0</w:t>
            </w:r>
          </w:p>
        </w:tc>
      </w:tr>
    </w:tbl>
    <w:p>
      <w:pPr>
        <w:pStyle w:val=""/>
        <w:jc w:val="left"/>
        <w:pageBreakBefore w:val="0"/>
        <w:spacing w:line="400" w:lineRule="exact"/>
        <w:rPr>
          <w:rFonts w:ascii="仿宋_GB2312" w:hAnsi="仿宋_GB2312"/>
          <w:sz w:val="24"/>
          <w:szCs w:val="24"/>
        </w:rPr>
      </w:pPr>
    </w:p>
    <w:p>
      <w:pPr>
        <w:pStyle w:val=""/>
        <w:jc w:val="left"/>
        <w:pageBreakBefore w:val="0"/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注：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各单位填写时请对应相应项目填写件数，无的请填写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pStyle w:val=""/>
        <w:jc w:val="left"/>
        <w:ind w:left="600"/>
        <w:pageBreakBefore w:val="0"/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公开执法案件数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只统计公开的行政处罚、行政许可、行政强制、行政征收、行政征用的件数；</w:t>
      </w:r>
    </w:p>
    <w:p>
      <w:pPr>
        <w:pStyle w:val=""/>
        <w:jc w:val="left"/>
        <w:ind w:left="600"/>
        <w:pageBreakBefore w:val="0"/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持证行政执法人员数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只要是有效的执法资格证件都统计，持有国务院部门行政执法证的请在表中注明（未标注的默认为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贵州省行政执法证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），并请正反面拍照造册报送本级司法行政机关备案。公安机关的警官证不统计。</w:t>
      </w:r>
    </w:p>
    <w:sectPr>
      <w:pgSz w:w="16838" w:h="11906"/>
      <w:pgMar w:left="720" w:right="720" w:top="720" w:bottom="720"/>
      <w:type w:val="nextPage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Calibri"/>
  <w:font w:name="Liberation Sans"/>
  <w:font w:name="Noto Sans CJK SC Regular"/>
  <w:font w:name="黑体"/>
  <w:font w:name="方正小标宋简体"/>
  <w:font w:name="仿宋_GB2312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color w:val="000000"/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1">
    <w:name w:val="默认段落字体1"/>
    <w:qFormat/>
  </w:style>
  <w:style w:type="paragraph" w:styleId="">
    <w:name w:val="题注"/>
    <w:qFormat/>
    <w:basedOn w:val="正文"/>
    <w:pPr>
      <w:spacing w:before="120" w:after="120"/>
    </w:pPr>
    <w:rPr>
      <w:i/>
      <w:sz w:val="24"/>
      <w:szCs w:val="24"/>
    </w:rPr>
  </w:style>
  <w:style w:type="paragraph" w:styleId="">
    <w:name w:val="正文文本"/>
    <w:qFormat/>
    <w:basedOn w:val="正文"/>
    <w:pPr>
      <w:spacing w:before="0" w:after="140" w:line="276" w:lineRule="auto"/>
    </w:pPr>
  </w:style>
  <w:style w:type="paragraph" w:styleId="">
    <w:name w:val="列表"/>
    <w:qFormat/>
    <w:basedOn w:val="正文文本"/>
    <w:pPr/>
  </w:style>
  <w:style w:type="paragraph" w:styleId="Heading">
    <w:name w:val="Heading"/>
    <w:qFormat/>
    <w:basedOn w:val="正文"/>
    <w:pPr>
      <w:spacing w:before="240" w:after="120"/>
    </w:pPr>
    <w:rPr>
      <w:rFonts w:ascii="Liberation Sans" w:hAnsi="Liberation Sans"/>
      <w:sz w:val="28"/>
      <w:szCs w:val="28"/>
    </w:rPr>
  </w:style>
  <w:style w:type="paragraph" w:styleId="Index">
    <w:name w:val="Index"/>
    <w:qFormat/>
    <w:basedOn w:val="正文"/>
    <w:pPr/>
  </w:style>
  <w:style w:type="paragraph" w:styleId="">
    <w:name w:val="页脚"/>
    <w:qFormat/>
    <w:basedOn w:val="正文"/>
    <w:pPr>
      <w:jc w:val="left"/>
    </w:pPr>
    <w:rPr>
      <w:sz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