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能源执法情况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截至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2020年12月15日</w:t>
      </w:r>
      <w:r>
        <w:rPr>
          <w:rFonts w:hint="eastAsia" w:ascii="仿宋" w:hAnsi="仿宋" w:eastAsia="仿宋" w:cs="仿宋"/>
          <w:sz w:val="32"/>
          <w:szCs w:val="32"/>
        </w:rPr>
        <w:t>，共开展煤矿安全生产执法检查269矿次次，查处各类隐患2007条、其中重大隐患2条，已整改落实1991条，整改率达99.20%（竹林煤矿2条重大隐患挂牌督办，已落实整改后摘牌销号），停止煤矿采掘头面89次，停止设备使用12次，全矿井停产整改7次，实施行政处罚32矿次，共计罚款281.6991万元（其中联合，约谈煤矿五职矿长等主要管理人员19次，涉及人员50人次，“打非治违”工作取得阶段性成效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E4523"/>
    <w:rsid w:val="234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2020-12-17T08:26:00Z</dcterms:created>
  <dc:creator>Z:……</dc:creator>
  <cp:lastModifiedBy>Z:……</cp:lastModifiedBy>
  <dcterms:modified xsi:type="dcterms:W3CDTF">2020-12-17T08:47:52Z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