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 w:hAnsi="仿宋" w:eastAsia="仿宋" w:cs="仿宋"/>
          <w:color w:val="000000"/>
          <w:kern w:val="0"/>
          <w:sz w:val="32"/>
          <w:szCs w:val="32"/>
          <w:lang w:eastAsia="zh-CN" w:bidi="ar"/>
        </w:rPr>
      </w:pPr>
      <w:r>
        <w:rPr>
          <w:rFonts w:hint="eastAsia" w:ascii="仿宋" w:hAnsi="仿宋" w:eastAsia="仿宋" w:cs="仿宋"/>
          <w:color w:val="000000"/>
          <w:kern w:val="0"/>
          <w:sz w:val="32"/>
          <w:szCs w:val="32"/>
          <w:lang w:bidi="ar"/>
        </w:rPr>
        <w:t>附件1</w:t>
      </w:r>
      <w:r>
        <w:rPr>
          <w:rFonts w:hint="eastAsia" w:ascii="仿宋" w:hAnsi="仿宋" w:eastAsia="仿宋" w:cs="仿宋"/>
          <w:color w:val="000000"/>
          <w:kern w:val="0"/>
          <w:sz w:val="32"/>
          <w:szCs w:val="32"/>
          <w:lang w:eastAsia="zh-CN" w:bidi="ar"/>
        </w:rPr>
        <w:t>：</w:t>
      </w:r>
    </w:p>
    <w:p>
      <w:pPr>
        <w:widowControl/>
        <w:snapToGrid w:val="0"/>
        <w:spacing w:line="560" w:lineRule="exact"/>
        <w:rPr>
          <w:rFonts w:hint="eastAsia" w:ascii="仿宋" w:hAnsi="仿宋" w:eastAsia="仿宋" w:cs="仿宋"/>
          <w:color w:val="000000"/>
          <w:kern w:val="0"/>
          <w:sz w:val="32"/>
          <w:szCs w:val="32"/>
          <w:lang w:bidi="ar"/>
        </w:rPr>
      </w:pPr>
    </w:p>
    <w:p>
      <w:pPr>
        <w:widowControl/>
        <w:snapToGrid w:val="0"/>
        <w:spacing w:line="560" w:lineRule="exact"/>
        <w:jc w:val="center"/>
        <w:rPr>
          <w:rFonts w:hint="eastAsia" w:ascii="方正小标宋简体" w:hAnsi="方正小标宋简体" w:eastAsia="方正小标宋简体" w:cs="方正小标宋简体"/>
          <w:color w:val="000000"/>
          <w:kern w:val="0"/>
          <w:sz w:val="44"/>
          <w:szCs w:val="44"/>
          <w:lang w:bidi="ar"/>
        </w:rPr>
      </w:pPr>
      <w:bookmarkStart w:id="0" w:name="_GoBack"/>
      <w:r>
        <w:rPr>
          <w:rFonts w:hint="eastAsia" w:ascii="方正小标宋简体" w:hAnsi="方正小标宋简体" w:eastAsia="方正小标宋简体" w:cs="方正小标宋简体"/>
          <w:color w:val="000000"/>
          <w:kern w:val="0"/>
          <w:sz w:val="44"/>
          <w:szCs w:val="44"/>
          <w:lang w:bidi="ar"/>
        </w:rPr>
        <w:t>贵州省矿业权标识牌及界桩式样及内容规定</w:t>
      </w:r>
    </w:p>
    <w:bookmarkEnd w:id="0"/>
    <w:p>
      <w:pPr>
        <w:widowControl/>
        <w:snapToGrid w:val="0"/>
        <w:spacing w:line="560" w:lineRule="exact"/>
        <w:jc w:val="left"/>
        <w:rPr>
          <w:rFonts w:hint="eastAsia" w:ascii="仿宋" w:hAnsi="仿宋" w:eastAsia="仿宋" w:cs="仿宋"/>
          <w:color w:val="000000"/>
          <w:kern w:val="0"/>
          <w:sz w:val="32"/>
          <w:szCs w:val="32"/>
          <w:lang w:bidi="ar"/>
        </w:rPr>
      </w:pP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根据《贵州省矿产资源监督检查条例》第十一条的规定，结合我省实际，制定本规定。</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探矿权人、采矿权人应当按照《贵州省矿产资源监督检查条例》的规定在地质勘查、采矿现场设立矿业权标识牌、界桩。设立的地点应当确保标识牌正面和背面内容无障碍物遮挡，行人能明显看清。</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探矿权、采矿权标识牌按照《省国土资源厅关于建立采矿权标识制度的通知》（黔国土资矿管函【2010】497号）中确定的标识牌式样制作。</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探矿权、采矿权标识牌内容分别标注于其正面和背面。正面标注勘查许可证、采矿许可证基本内容，背面标注矿区范围。</w:t>
      </w:r>
    </w:p>
    <w:p>
      <w:pPr>
        <w:widowControl/>
        <w:snapToGrid w:val="0"/>
        <w:spacing w:line="560" w:lineRule="exact"/>
        <w:ind w:firstLine="480" w:firstLineChars="15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（一）探矿权标识牌正面内容包括：</w:t>
      </w:r>
    </w:p>
    <w:p>
      <w:pPr>
        <w:widowControl/>
        <w:numPr>
          <w:ilvl w:val="0"/>
          <w:numId w:val="2"/>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标题：勘查项目名称。</w:t>
      </w:r>
    </w:p>
    <w:p>
      <w:pPr>
        <w:widowControl/>
        <w:numPr>
          <w:ilvl w:val="0"/>
          <w:numId w:val="2"/>
        </w:numPr>
        <w:snapToGrid w:val="0"/>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内容：探矿权人、探矿权人的地质、地理位置、图副号、勘查面积、有效期限、勘查单位、勘查单位地质。</w:t>
      </w:r>
    </w:p>
    <w:p>
      <w:pPr>
        <w:widowControl/>
        <w:snapToGrid w:val="0"/>
        <w:spacing w:line="560" w:lineRule="exact"/>
        <w:ind w:firstLine="480" w:firstLineChars="15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（二）采矿权标识牌正面内容包括：</w:t>
      </w:r>
    </w:p>
    <w:p>
      <w:pPr>
        <w:widowControl/>
        <w:numPr>
          <w:ilvl w:val="0"/>
          <w:numId w:val="3"/>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标题：矿山名称。</w:t>
      </w:r>
    </w:p>
    <w:p>
      <w:pPr>
        <w:widowControl/>
        <w:numPr>
          <w:ilvl w:val="0"/>
          <w:numId w:val="3"/>
        </w:numPr>
        <w:snapToGrid w:val="0"/>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内容：采矿权人、地址、经济类型、开采矿种、开采方式、生产规模、矿区面积、有效期限。</w:t>
      </w:r>
    </w:p>
    <w:p>
      <w:pPr>
        <w:widowControl/>
        <w:snapToGrid w:val="0"/>
        <w:spacing w:line="560" w:lineRule="exact"/>
        <w:ind w:firstLine="480" w:firstLineChars="15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（三）探矿权、采矿权标识牌正面均应注明发证机关、发证时间、制牌时间、监督单位。正面底座上注明“国土资源违法举报电话：12336”，其字体大小应根据底座宽度尽量采用较大字体。</w:t>
      </w:r>
    </w:p>
    <w:p>
      <w:pPr>
        <w:widowControl/>
        <w:snapToGrid w:val="0"/>
        <w:spacing w:line="560" w:lineRule="exact"/>
        <w:ind w:firstLine="480" w:firstLineChars="15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探矿权、采矿权标识牌背面标注矿区范围图。矿区范围图应以2011年以来的卫星遥感影像图叠加地图为底图，将其矿区(勘查区)范围坐标拐点连线标注。底图采用较大比例尺底图。采矿权标识牌背面应标注开采深度。采矿权人采取地下开采方式采矿且已进行矿山建设生产的，标识牌背面还应标注进口位置及进口所在地地理三维坐标。</w:t>
      </w:r>
    </w:p>
    <w:p>
      <w:pPr>
        <w:widowControl/>
        <w:snapToGrid w:val="0"/>
        <w:spacing w:line="560" w:lineRule="exact"/>
        <w:ind w:firstLine="480" w:firstLineChars="15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（五）标识牌正面字体应符合黔国土资矿管函【2010】497号的要求，背面字体采用正方宋体简体标注。</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标识牌内容应准确无误，使用的地名应规范。</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标识牌内容可以用雕刻方式标注，也可以用广告喷绘后粘贴。</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标识牌内容依法进行了变更登记的，县级国土资源行政主管部门应督促矿业权人在一个月内更新标识牌；标识牌内容因时间长而模糊的，县级国土资源行政主管部门应督促矿业权人重新标注。</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不按照本规定设立标识牌以及标识牌内容发生变更后未按本规定更新、内容模糊不重新标注的，视为未设立标识牌。并依照《贵州省矿产资源监督检查条例》第十八条的规定进行处罚。</w:t>
      </w:r>
    </w:p>
    <w:p>
      <w:pPr>
        <w:widowControl/>
        <w:numPr>
          <w:ilvl w:val="0"/>
          <w:numId w:val="1"/>
        </w:numPr>
        <w:snapToGrid w:val="0"/>
        <w:spacing w:line="56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设立采矿权界桩</w:t>
      </w:r>
    </w:p>
    <w:p>
      <w:pPr>
        <w:widowControl/>
        <w:snapToGrid w:val="0"/>
        <w:spacing w:line="560" w:lineRule="exact"/>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    所有合法露天开采矿山均应按照采矿权许可证副本注明的矿区范围拐点坐标埋设界桩，界桩埋设前应由具有测绘资质的单位现场实测确定具体埋设点。桩号与采矿许可证矿区范围拐点编号一致，界桩露出地面高度不小于1米。矿区范围拐点所处位置特殊（如位于水体、房屋、陡涯、公路等），无法设置或不能设置的，可以不设置或采取其他变通方式设置。界桩选用钢筋混凝土材质，规格为150厘米*12厘米*12厘米的方桩，桩身应采用放光漆制成红白相间水平条纹并标注矿区简况，</w:t>
      </w:r>
      <w:r>
        <w:rPr>
          <w:rFonts w:hint="eastAsia" w:ascii="仿宋" w:hAnsi="仿宋" w:eastAsia="仿宋" w:cs="仿宋"/>
          <w:color w:val="222222"/>
          <w:sz w:val="32"/>
          <w:szCs w:val="32"/>
          <w:shd w:val="clear" w:color="auto" w:fill="FFFFFF"/>
        </w:rPr>
        <w:t>桩顶标注与采矿许可证矿区范围相对应的拐点编号及总拐点数，十分清晰醒目</w:t>
      </w:r>
      <w:r>
        <w:rPr>
          <w:rFonts w:hint="eastAsia" w:ascii="仿宋" w:hAnsi="仿宋" w:eastAsia="仿宋" w:cs="仿宋"/>
          <w:color w:val="000000"/>
          <w:kern w:val="0"/>
          <w:sz w:val="32"/>
          <w:szCs w:val="32"/>
          <w:lang w:bidi="ar"/>
        </w:rPr>
        <w:t>。</w:t>
      </w:r>
    </w:p>
    <w:p>
      <w:pPr>
        <w:widowControl/>
        <w:snapToGrid w:val="0"/>
        <w:spacing w:line="560" w:lineRule="exact"/>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   十 、县级国土资源行政主管部门负责本行政区域内采矿权标识牌、界桩的监制。</w:t>
      </w:r>
    </w:p>
    <w:p>
      <w:pPr>
        <w:widowControl/>
        <w:snapToGrid w:val="0"/>
        <w:spacing w:line="560" w:lineRule="exact"/>
        <w:ind w:firstLine="640"/>
        <w:jc w:val="left"/>
        <w:rPr>
          <w:rFonts w:hint="eastAsia" w:ascii="仿宋" w:hAnsi="仿宋" w:eastAsia="仿宋" w:cs="仿宋"/>
          <w:color w:val="000000"/>
          <w:kern w:val="0"/>
          <w:sz w:val="32"/>
          <w:szCs w:val="32"/>
          <w:lang w:bidi="ar"/>
        </w:rPr>
      </w:pPr>
    </w:p>
    <w:p>
      <w:pPr>
        <w:widowControl/>
        <w:snapToGrid w:val="0"/>
        <w:spacing w:line="560" w:lineRule="exact"/>
        <w:ind w:firstLine="640"/>
        <w:jc w:val="left"/>
        <w:rPr>
          <w:rFonts w:hint="eastAsia" w:ascii="仿宋" w:hAnsi="仿宋" w:eastAsia="仿宋" w:cs="仿宋"/>
          <w:color w:val="000000"/>
          <w:kern w:val="0"/>
          <w:sz w:val="32"/>
          <w:szCs w:val="32"/>
          <w:lang w:bidi="ar"/>
        </w:rPr>
      </w:pPr>
    </w:p>
    <w:p>
      <w:pPr>
        <w:widowControl/>
        <w:snapToGrid w:val="0"/>
        <w:spacing w:line="560" w:lineRule="exact"/>
        <w:ind w:firstLine="640"/>
        <w:jc w:val="left"/>
        <w:rPr>
          <w:rFonts w:hint="eastAsia" w:ascii="仿宋" w:hAnsi="仿宋" w:eastAsia="仿宋" w:cs="仿宋"/>
          <w:color w:val="000000"/>
          <w:kern w:val="0"/>
          <w:sz w:val="32"/>
          <w:szCs w:val="32"/>
          <w:lang w:bidi="ar"/>
        </w:rPr>
      </w:pPr>
    </w:p>
    <w:p>
      <w:pPr>
        <w:widowControl/>
        <w:snapToGrid w:val="0"/>
        <w:spacing w:line="560" w:lineRule="exact"/>
        <w:ind w:firstLine="640"/>
        <w:jc w:val="left"/>
        <w:rPr>
          <w:rFonts w:hint="eastAsia" w:ascii="仿宋" w:hAnsi="仿宋" w:eastAsia="仿宋" w:cs="仿宋"/>
          <w:color w:val="000000"/>
          <w:kern w:val="0"/>
          <w:sz w:val="32"/>
          <w:szCs w:val="32"/>
          <w:lang w:bidi="ar"/>
        </w:rPr>
      </w:pPr>
    </w:p>
    <w:p>
      <w:pPr>
        <w:widowControl/>
        <w:snapToGrid w:val="0"/>
        <w:spacing w:line="560" w:lineRule="exact"/>
        <w:ind w:firstLine="640"/>
        <w:jc w:val="left"/>
        <w:rPr>
          <w:rFonts w:hint="eastAsia" w:ascii="仿宋" w:hAnsi="仿宋" w:eastAsia="仿宋" w:cs="仿宋"/>
          <w:color w:val="000000"/>
          <w:kern w:val="0"/>
          <w:sz w:val="32"/>
          <w:szCs w:val="32"/>
          <w:lang w:bidi="ar"/>
        </w:rPr>
      </w:pPr>
    </w:p>
    <w:p>
      <w:pPr>
        <w:widowControl/>
        <w:snapToGrid w:val="0"/>
        <w:spacing w:line="560" w:lineRule="exact"/>
        <w:ind w:firstLine="640"/>
        <w:jc w:val="left"/>
        <w:rPr>
          <w:rFonts w:hint="eastAsia" w:ascii="仿宋" w:hAnsi="仿宋" w:eastAsia="仿宋" w:cs="仿宋"/>
          <w:color w:val="000000"/>
          <w:kern w:val="0"/>
          <w:sz w:val="32"/>
          <w:szCs w:val="32"/>
          <w:lang w:bidi="ar"/>
        </w:rPr>
      </w:pPr>
    </w:p>
    <w:p>
      <w:pPr>
        <w:pStyle w:val="2"/>
        <w:rPr>
          <w:rFonts w:hint="eastAsia" w:ascii="仿宋" w:hAnsi="仿宋" w:eastAsia="仿宋" w:cs="仿宋"/>
          <w:color w:val="000000"/>
          <w:kern w:val="0"/>
          <w:sz w:val="32"/>
          <w:szCs w:val="32"/>
          <w:lang w:bidi="ar"/>
        </w:rPr>
      </w:pPr>
    </w:p>
    <w:p>
      <w:pPr>
        <w:pStyle w:val="4"/>
        <w:rPr>
          <w:rFonts w:hint="eastAsia" w:ascii="仿宋" w:hAnsi="仿宋" w:eastAsia="仿宋" w:cs="仿宋"/>
          <w:color w:val="000000"/>
          <w:kern w:val="0"/>
          <w:sz w:val="32"/>
          <w:szCs w:val="32"/>
          <w:lang w:bidi="ar"/>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F2394084-581A-4FEE-A141-ED0698E6ED01}"/>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BDCBBC5-348A-4EDA-94EF-04E0F7BD56EE}"/>
  </w:font>
  <w:font w:name="方正小标宋简体">
    <w:panose1 w:val="02000000000000000000"/>
    <w:charset w:val="86"/>
    <w:family w:val="auto"/>
    <w:pitch w:val="default"/>
    <w:sig w:usb0="00000001" w:usb1="080E0000" w:usb2="00000000" w:usb3="00000000" w:csb0="00040000" w:csb1="00000000"/>
    <w:embedRegular r:id="rId3" w:fontKey="{D1FFDD87-BF91-40E1-ACBE-D4219899DC8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8ACAA"/>
    <w:multiLevelType w:val="singleLevel"/>
    <w:tmpl w:val="E8B8ACAA"/>
    <w:lvl w:ilvl="0" w:tentative="0">
      <w:start w:val="1"/>
      <w:numFmt w:val="chineseCounting"/>
      <w:suff w:val="nothing"/>
      <w:lvlText w:val="%1、"/>
      <w:lvlJc w:val="left"/>
      <w:rPr>
        <w:rFonts w:hint="eastAsia"/>
      </w:rPr>
    </w:lvl>
  </w:abstractNum>
  <w:abstractNum w:abstractNumId="1">
    <w:nsid w:val="6AB8DCCA"/>
    <w:multiLevelType w:val="singleLevel"/>
    <w:tmpl w:val="6AB8DCCA"/>
    <w:lvl w:ilvl="0" w:tentative="0">
      <w:start w:val="1"/>
      <w:numFmt w:val="decimal"/>
      <w:suff w:val="nothing"/>
      <w:lvlText w:val="%1、"/>
      <w:lvlJc w:val="left"/>
    </w:lvl>
  </w:abstractNum>
  <w:abstractNum w:abstractNumId="2">
    <w:nsid w:val="6CB87B2E"/>
    <w:multiLevelType w:val="singleLevel"/>
    <w:tmpl w:val="6CB87B2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WI4MDRiY2RhMGNjMmM0ZDBiNzA4NDI1MjAzMjAifQ=="/>
  </w:docVars>
  <w:rsids>
    <w:rsidRoot w:val="1B3F090B"/>
    <w:rsid w:val="1B3F090B"/>
    <w:rsid w:val="6009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tabs>
        <w:tab w:val="center" w:pos="4153"/>
        <w:tab w:val="right" w:pos="8306"/>
      </w:tabs>
      <w:spacing w:line="576" w:lineRule="exact"/>
      <w:ind w:firstLine="200" w:firstLineChars="200"/>
      <w:jc w:val="left"/>
    </w:pPr>
    <w:rPr>
      <w:rFonts w:eastAsia="仿宋_GB2312" w:cs="宋体"/>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1197</Characters>
  <Lines>0</Lines>
  <Paragraphs>0</Paragraphs>
  <TotalTime>2</TotalTime>
  <ScaleCrop>false</ScaleCrop>
  <LinksUpToDate>false</LinksUpToDate>
  <CharactersWithSpaces>1205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2022-08-29T08:21:00Z</dcterms:created>
  <dc:creator>杨美</dc:creator>
  <cp:lastModifiedBy>杨美</cp:lastModifiedBy>
  <dcterms:modified xsi:type="dcterms:W3CDTF">2022-08-29T08:27:35Z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BCEE27D32CA84EBF8FB97438B7DA9EF2</vt:lpwstr>
  </property>
</Properties>
</file>